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61A" w:rsidRPr="004F5DBF" w:rsidRDefault="0099345C" w:rsidP="00F67C15">
      <w:pPr>
        <w:rPr>
          <w:sz w:val="20"/>
          <w:szCs w:val="20"/>
          <w:lang w:val="fr-FR"/>
        </w:rPr>
      </w:pPr>
      <w:bookmarkStart w:id="0" w:name="_GoBack"/>
      <w:bookmarkEnd w:id="0"/>
      <w:r w:rsidRPr="004F5DBF">
        <w:rPr>
          <w:rFonts w:asciiTheme="minorHAnsi" w:hAnsiTheme="minorHAnsi" w:cstheme="minorHAnsi"/>
          <w:b/>
          <w:sz w:val="20"/>
          <w:szCs w:val="20"/>
          <w:lang w:val="fr-FR"/>
        </w:rPr>
        <w:t>Instructions pour le Participant</w:t>
      </w:r>
      <w:r w:rsidR="00E33DD8" w:rsidRPr="004F5DBF"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E7561A" w:rsidRPr="004F5DBF">
        <w:rPr>
          <w:rFonts w:asciiTheme="minorHAnsi" w:hAnsiTheme="minorHAnsi" w:cstheme="minorHAnsi"/>
          <w:b/>
          <w:sz w:val="20"/>
          <w:szCs w:val="20"/>
          <w:lang w:val="fr-FR"/>
        </w:rPr>
        <w:t>:</w:t>
      </w:r>
      <w:r w:rsidR="00E7561A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A1137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Chaque participant reçoit un </w:t>
      </w:r>
      <w:r w:rsidR="002F57E5">
        <w:rPr>
          <w:rFonts w:asciiTheme="minorHAnsi" w:hAnsiTheme="minorHAnsi" w:cstheme="minorHAnsi"/>
          <w:sz w:val="20"/>
          <w:szCs w:val="20"/>
          <w:lang w:val="fr-FR"/>
        </w:rPr>
        <w:t>feuillet</w:t>
      </w:r>
      <w:r w:rsidR="002A1137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avec </w:t>
      </w:r>
      <w:r w:rsidR="00312919">
        <w:rPr>
          <w:rFonts w:asciiTheme="minorHAnsi" w:hAnsiTheme="minorHAnsi" w:cstheme="minorHAnsi"/>
          <w:sz w:val="20"/>
          <w:szCs w:val="20"/>
          <w:lang w:val="fr-FR"/>
        </w:rPr>
        <w:t>un énoncé</w:t>
      </w:r>
      <w:r w:rsidR="002A1137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de problème et </w:t>
      </w:r>
      <w:r w:rsidR="003E4891">
        <w:rPr>
          <w:rFonts w:asciiTheme="minorHAnsi" w:hAnsiTheme="minorHAnsi" w:cstheme="minorHAnsi"/>
          <w:sz w:val="20"/>
          <w:szCs w:val="20"/>
          <w:lang w:val="fr-FR"/>
        </w:rPr>
        <w:t>un</w:t>
      </w:r>
      <w:r w:rsidR="002A1137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3E4891">
        <w:rPr>
          <w:rFonts w:asciiTheme="minorHAnsi" w:hAnsiTheme="minorHAnsi" w:cstheme="minorHAnsi"/>
          <w:sz w:val="20"/>
          <w:szCs w:val="20"/>
          <w:lang w:val="fr-FR"/>
        </w:rPr>
        <w:t>aspect</w:t>
      </w:r>
      <w:r w:rsidR="002A1137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de l'environnement </w:t>
      </w:r>
      <w:r w:rsidR="002A1137">
        <w:rPr>
          <w:rFonts w:asciiTheme="minorHAnsi" w:hAnsiTheme="minorHAnsi" w:cstheme="minorHAnsi"/>
          <w:sz w:val="20"/>
          <w:szCs w:val="20"/>
          <w:lang w:val="fr-FR"/>
        </w:rPr>
        <w:t xml:space="preserve">des </w:t>
      </w:r>
      <w:r w:rsidR="002A1137" w:rsidRPr="004F5DBF">
        <w:rPr>
          <w:rFonts w:asciiTheme="minorHAnsi" w:hAnsiTheme="minorHAnsi" w:cstheme="minorHAnsi"/>
          <w:sz w:val="20"/>
          <w:szCs w:val="20"/>
          <w:lang w:val="fr-FR"/>
        </w:rPr>
        <w:t>politique</w:t>
      </w:r>
      <w:r w:rsidR="002A1137">
        <w:rPr>
          <w:rFonts w:asciiTheme="minorHAnsi" w:hAnsiTheme="minorHAnsi" w:cstheme="minorHAnsi"/>
          <w:sz w:val="20"/>
          <w:szCs w:val="20"/>
          <w:lang w:val="fr-FR"/>
        </w:rPr>
        <w:t>s</w:t>
      </w:r>
      <w:r w:rsidR="00E7561A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. </w:t>
      </w:r>
      <w:r w:rsidR="00312919" w:rsidRPr="00312919">
        <w:rPr>
          <w:rFonts w:asciiTheme="minorHAnsi" w:hAnsiTheme="minorHAnsi" w:cstheme="minorHAnsi"/>
          <w:sz w:val="20"/>
          <w:szCs w:val="20"/>
          <w:lang w:val="fr-FR"/>
        </w:rPr>
        <w:t>Les participants ayant reçu le même énoncé de problème formeront des groupes de quatre à cinq personnes.</w:t>
      </w:r>
      <w:r w:rsidR="00312919" w:rsidRPr="00312919" w:rsidDel="00312919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5B75C2" w:rsidRPr="005B75C2">
        <w:rPr>
          <w:rFonts w:asciiTheme="minorHAnsi" w:hAnsiTheme="minorHAnsi" w:cstheme="minorHAnsi"/>
          <w:sz w:val="20"/>
          <w:szCs w:val="20"/>
          <w:lang w:val="fr-FR"/>
        </w:rPr>
        <w:t>Les membres d</w:t>
      </w:r>
      <w:r w:rsidR="00267A8C">
        <w:rPr>
          <w:rFonts w:asciiTheme="minorHAnsi" w:hAnsiTheme="minorHAnsi" w:cstheme="minorHAnsi"/>
          <w:sz w:val="20"/>
          <w:szCs w:val="20"/>
          <w:lang w:val="fr-FR"/>
        </w:rPr>
        <w:t>e</w:t>
      </w:r>
      <w:r w:rsidR="00AA3258">
        <w:rPr>
          <w:rFonts w:asciiTheme="minorHAnsi" w:hAnsiTheme="minorHAnsi" w:cstheme="minorHAnsi"/>
          <w:sz w:val="20"/>
          <w:szCs w:val="20"/>
          <w:lang w:val="fr-FR"/>
        </w:rPr>
        <w:t>s</w:t>
      </w:r>
      <w:r w:rsidR="005B75C2" w:rsidRPr="005B75C2">
        <w:rPr>
          <w:rFonts w:asciiTheme="minorHAnsi" w:hAnsiTheme="minorHAnsi" w:cstheme="minorHAnsi"/>
          <w:sz w:val="20"/>
          <w:szCs w:val="20"/>
          <w:lang w:val="fr-FR"/>
        </w:rPr>
        <w:t xml:space="preserve"> groupe</w:t>
      </w:r>
      <w:r w:rsidR="00267A8C">
        <w:rPr>
          <w:rFonts w:asciiTheme="minorHAnsi" w:hAnsiTheme="minorHAnsi" w:cstheme="minorHAnsi"/>
          <w:sz w:val="20"/>
          <w:szCs w:val="20"/>
          <w:lang w:val="fr-FR"/>
        </w:rPr>
        <w:t>s</w:t>
      </w:r>
      <w:r w:rsidR="005B75C2" w:rsidRPr="005B75C2">
        <w:rPr>
          <w:rFonts w:asciiTheme="minorHAnsi" w:hAnsiTheme="minorHAnsi" w:cstheme="minorHAnsi"/>
          <w:sz w:val="20"/>
          <w:szCs w:val="20"/>
          <w:lang w:val="fr-FR"/>
        </w:rPr>
        <w:t xml:space="preserve"> discuteront ensemble du problème et de l'environnement </w:t>
      </w:r>
      <w:r w:rsidR="005B75C2">
        <w:rPr>
          <w:rFonts w:asciiTheme="minorHAnsi" w:hAnsiTheme="minorHAnsi" w:cstheme="minorHAnsi"/>
          <w:sz w:val="20"/>
          <w:szCs w:val="20"/>
          <w:lang w:val="fr-FR"/>
        </w:rPr>
        <w:t xml:space="preserve">des </w:t>
      </w:r>
      <w:r w:rsidR="005B75C2" w:rsidRPr="005B75C2">
        <w:rPr>
          <w:rFonts w:asciiTheme="minorHAnsi" w:hAnsiTheme="minorHAnsi" w:cstheme="minorHAnsi"/>
          <w:sz w:val="20"/>
          <w:szCs w:val="20"/>
          <w:lang w:val="fr-FR"/>
        </w:rPr>
        <w:t>politique</w:t>
      </w:r>
      <w:r w:rsidR="005B75C2">
        <w:rPr>
          <w:rFonts w:asciiTheme="minorHAnsi" w:hAnsiTheme="minorHAnsi" w:cstheme="minorHAnsi"/>
          <w:sz w:val="20"/>
          <w:szCs w:val="20"/>
          <w:lang w:val="fr-FR"/>
        </w:rPr>
        <w:t>s</w:t>
      </w:r>
      <w:r w:rsidR="005B75C2" w:rsidRPr="005B75C2">
        <w:rPr>
          <w:rFonts w:asciiTheme="minorHAnsi" w:hAnsiTheme="minorHAnsi" w:cstheme="minorHAnsi"/>
          <w:sz w:val="20"/>
          <w:szCs w:val="20"/>
          <w:lang w:val="fr-FR"/>
        </w:rPr>
        <w:t>.</w:t>
      </w:r>
      <w:r w:rsidR="00391BFB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8A04A9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Ils réfléchiront également aux actions de plaidoyer potentielles à utiliser pour </w:t>
      </w:r>
      <w:r w:rsidR="00C2086F">
        <w:rPr>
          <w:rFonts w:asciiTheme="minorHAnsi" w:hAnsiTheme="minorHAnsi" w:cstheme="minorHAnsi"/>
          <w:sz w:val="20"/>
          <w:szCs w:val="20"/>
          <w:lang w:val="fr-FR"/>
        </w:rPr>
        <w:t>contrebalancer</w:t>
      </w:r>
      <w:r w:rsidR="0065195B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8A04A9" w:rsidRPr="004F5DBF">
        <w:rPr>
          <w:rFonts w:asciiTheme="minorHAnsi" w:hAnsiTheme="minorHAnsi" w:cstheme="minorHAnsi"/>
          <w:sz w:val="20"/>
          <w:szCs w:val="20"/>
          <w:lang w:val="fr-FR"/>
        </w:rPr>
        <w:t>la faiblesse identifiée d</w:t>
      </w:r>
      <w:r w:rsidR="008A04A9">
        <w:rPr>
          <w:rFonts w:asciiTheme="minorHAnsi" w:hAnsiTheme="minorHAnsi" w:cstheme="minorHAnsi"/>
          <w:sz w:val="20"/>
          <w:szCs w:val="20"/>
          <w:lang w:val="fr-FR"/>
        </w:rPr>
        <w:t>ans</w:t>
      </w:r>
      <w:r w:rsidR="008A04A9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l'environnement </w:t>
      </w:r>
      <w:r w:rsidR="008A04A9">
        <w:rPr>
          <w:rFonts w:asciiTheme="minorHAnsi" w:hAnsiTheme="minorHAnsi" w:cstheme="minorHAnsi"/>
          <w:sz w:val="20"/>
          <w:szCs w:val="20"/>
          <w:lang w:val="fr-FR"/>
        </w:rPr>
        <w:t xml:space="preserve">des </w:t>
      </w:r>
      <w:r w:rsidR="008A04A9" w:rsidRPr="004F5DBF">
        <w:rPr>
          <w:rFonts w:asciiTheme="minorHAnsi" w:hAnsiTheme="minorHAnsi" w:cstheme="minorHAnsi"/>
          <w:sz w:val="20"/>
          <w:szCs w:val="20"/>
          <w:lang w:val="fr-FR"/>
        </w:rPr>
        <w:t>politique</w:t>
      </w:r>
      <w:r w:rsidR="008A04A9">
        <w:rPr>
          <w:rFonts w:asciiTheme="minorHAnsi" w:hAnsiTheme="minorHAnsi" w:cstheme="minorHAnsi"/>
          <w:sz w:val="20"/>
          <w:szCs w:val="20"/>
          <w:lang w:val="fr-FR"/>
        </w:rPr>
        <w:t>s</w:t>
      </w:r>
      <w:r w:rsidR="008A04A9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67A8C">
        <w:rPr>
          <w:rFonts w:asciiTheme="minorHAnsi" w:hAnsiTheme="minorHAnsi" w:cstheme="minorHAnsi"/>
          <w:sz w:val="20"/>
          <w:szCs w:val="20"/>
          <w:lang w:val="fr-FR"/>
        </w:rPr>
        <w:t>en s’appuyant sur</w:t>
      </w:r>
      <w:r w:rsidR="008A04A9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trois approches de plaidoyer</w:t>
      </w:r>
      <w:r w:rsidR="0065195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696FA5" w:rsidRPr="004F5DBF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683D93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8A04A9" w:rsidRPr="008A04A9">
        <w:rPr>
          <w:rFonts w:asciiTheme="minorHAnsi" w:hAnsiTheme="minorHAnsi" w:cstheme="minorHAnsi"/>
          <w:sz w:val="20"/>
          <w:szCs w:val="20"/>
          <w:lang w:val="fr-FR"/>
        </w:rPr>
        <w:t xml:space="preserve">apprentissage des politiques, renforcement </w:t>
      </w:r>
      <w:r w:rsidR="008A04A9">
        <w:rPr>
          <w:rFonts w:asciiTheme="minorHAnsi" w:hAnsiTheme="minorHAnsi" w:cstheme="minorHAnsi"/>
          <w:sz w:val="20"/>
          <w:szCs w:val="20"/>
          <w:lang w:val="fr-FR"/>
        </w:rPr>
        <w:t>des</w:t>
      </w:r>
      <w:r w:rsidR="008A04A9" w:rsidRPr="008A04A9">
        <w:rPr>
          <w:rFonts w:asciiTheme="minorHAnsi" w:hAnsiTheme="minorHAnsi" w:cstheme="minorHAnsi"/>
          <w:sz w:val="20"/>
          <w:szCs w:val="20"/>
          <w:lang w:val="fr-FR"/>
        </w:rPr>
        <w:t xml:space="preserve"> communauté</w:t>
      </w:r>
      <w:r w:rsidR="008A04A9">
        <w:rPr>
          <w:rFonts w:asciiTheme="minorHAnsi" w:hAnsiTheme="minorHAnsi" w:cstheme="minorHAnsi"/>
          <w:sz w:val="20"/>
          <w:szCs w:val="20"/>
          <w:lang w:val="fr-FR"/>
        </w:rPr>
        <w:t>s</w:t>
      </w:r>
      <w:r w:rsidR="008A04A9" w:rsidRPr="008A04A9">
        <w:rPr>
          <w:rFonts w:asciiTheme="minorHAnsi" w:hAnsiTheme="minorHAnsi" w:cstheme="minorHAnsi"/>
          <w:sz w:val="20"/>
          <w:szCs w:val="20"/>
          <w:lang w:val="fr-FR"/>
        </w:rPr>
        <w:t xml:space="preserve"> et </w:t>
      </w:r>
      <w:r w:rsidR="008A04A9">
        <w:rPr>
          <w:rFonts w:asciiTheme="minorHAnsi" w:hAnsiTheme="minorHAnsi" w:cstheme="minorHAnsi"/>
          <w:sz w:val="20"/>
          <w:szCs w:val="20"/>
          <w:lang w:val="fr-FR"/>
        </w:rPr>
        <w:t>focalisation</w:t>
      </w:r>
      <w:r w:rsidR="008A04A9" w:rsidRPr="008A04A9">
        <w:rPr>
          <w:rFonts w:asciiTheme="minorHAnsi" w:hAnsiTheme="minorHAnsi" w:cstheme="minorHAnsi"/>
          <w:sz w:val="20"/>
          <w:szCs w:val="20"/>
          <w:lang w:val="fr-FR"/>
        </w:rPr>
        <w:t xml:space="preserve"> de l'attention</w:t>
      </w:r>
      <w:r w:rsidR="00E7561A" w:rsidRPr="004F5DBF">
        <w:rPr>
          <w:rFonts w:asciiTheme="minorHAnsi" w:hAnsiTheme="minorHAnsi" w:cstheme="minorHAnsi"/>
          <w:sz w:val="20"/>
          <w:szCs w:val="20"/>
          <w:lang w:val="fr-FR"/>
        </w:rPr>
        <w:t xml:space="preserve">. </w:t>
      </w:r>
    </w:p>
    <w:p w:rsidR="00355BE7" w:rsidRPr="004F5DBF" w:rsidRDefault="00355BE7" w:rsidP="00F67C15">
      <w:pPr>
        <w:jc w:val="center"/>
        <w:rPr>
          <w:lang w:val="fr-F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75"/>
        <w:gridCol w:w="2570"/>
        <w:gridCol w:w="573"/>
        <w:gridCol w:w="2552"/>
        <w:gridCol w:w="573"/>
        <w:gridCol w:w="2602"/>
      </w:tblGrid>
      <w:tr w:rsidR="00F67C15" w:rsidRPr="00B34DBC">
        <w:trPr>
          <w:trHeight w:val="528"/>
        </w:trPr>
        <w:tc>
          <w:tcPr>
            <w:tcW w:w="944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67C15" w:rsidRPr="004F5DBF" w:rsidRDefault="006624F4" w:rsidP="00F67C15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lang w:val="fr-FR"/>
              </w:rPr>
              <w:t>Décrivez le problème auq</w:t>
            </w:r>
            <w:r>
              <w:rPr>
                <w:rFonts w:asciiTheme="minorHAnsi" w:hAnsiTheme="minorHAnsi" w:cstheme="minorHAnsi"/>
                <w:b/>
                <w:lang w:val="fr-FR"/>
              </w:rPr>
              <w:t>uel</w:t>
            </w:r>
            <w:r w:rsidRPr="004F5DBF">
              <w:rPr>
                <w:rFonts w:asciiTheme="minorHAnsi" w:hAnsiTheme="minorHAnsi" w:cstheme="minorHAnsi"/>
                <w:b/>
                <w:lang w:val="fr-FR"/>
              </w:rPr>
              <w:t xml:space="preserve"> votre plaidoyer va </w:t>
            </w:r>
            <w:r>
              <w:rPr>
                <w:rFonts w:asciiTheme="minorHAnsi" w:hAnsiTheme="minorHAnsi" w:cstheme="minorHAnsi"/>
                <w:b/>
                <w:lang w:val="fr-FR"/>
              </w:rPr>
              <w:t xml:space="preserve">s’attaquer </w:t>
            </w:r>
            <w:r w:rsidR="00F67C15" w:rsidRPr="004F5DBF">
              <w:rPr>
                <w:rFonts w:asciiTheme="minorHAnsi" w:hAnsiTheme="minorHAnsi" w:cstheme="minorHAnsi"/>
                <w:b/>
                <w:lang w:val="fr-FR"/>
              </w:rPr>
              <w:t xml:space="preserve">: </w:t>
            </w:r>
          </w:p>
          <w:p w:rsidR="00F67C15" w:rsidRPr="004F5DBF" w:rsidRDefault="00F67C15" w:rsidP="00F67C15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  <w:p w:rsidR="00F67C15" w:rsidRPr="004F5DBF" w:rsidRDefault="00F67C15" w:rsidP="00F67C15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  <w:p w:rsidR="00F67C15" w:rsidRPr="004F5DBF" w:rsidRDefault="00F67C15" w:rsidP="00F67C15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355BE7" w:rsidRPr="00B34DBC">
        <w:trPr>
          <w:trHeight w:val="357"/>
        </w:trPr>
        <w:tc>
          <w:tcPr>
            <w:tcW w:w="944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:rsidR="00355BE7" w:rsidRPr="004F5DBF" w:rsidRDefault="00CD50DA" w:rsidP="00F67C15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lang w:val="fr-FR"/>
              </w:rPr>
              <w:t xml:space="preserve">Actions de plaidoyer menées par les jeunes pour </w:t>
            </w:r>
            <w:r>
              <w:rPr>
                <w:rFonts w:asciiTheme="minorHAnsi" w:hAnsiTheme="minorHAnsi" w:cstheme="minorHAnsi"/>
                <w:b/>
                <w:lang w:val="fr-FR"/>
              </w:rPr>
              <w:t>s’attaquer au</w:t>
            </w:r>
            <w:r w:rsidRPr="004F5DBF">
              <w:rPr>
                <w:rFonts w:asciiTheme="minorHAnsi" w:hAnsiTheme="minorHAnsi" w:cstheme="minorHAnsi"/>
                <w:b/>
                <w:lang w:val="fr-FR"/>
              </w:rPr>
              <w:t xml:space="preserve"> problème</w:t>
            </w:r>
          </w:p>
        </w:tc>
      </w:tr>
      <w:tr w:rsidR="00355BE7" w:rsidRPr="00683D93">
        <w:trPr>
          <w:trHeight w:val="2753"/>
        </w:trPr>
        <w:tc>
          <w:tcPr>
            <w:tcW w:w="5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:rsidR="00355BE7" w:rsidRPr="004F5DBF" w:rsidRDefault="001B2D80" w:rsidP="00AA325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Apprentissage des </w:t>
            </w:r>
            <w:r w:rsidR="00F750F1">
              <w:rPr>
                <w:rFonts w:asciiTheme="minorHAnsi" w:hAnsiTheme="minorHAnsi" w:cstheme="minorHAnsi"/>
                <w:b/>
                <w:sz w:val="28"/>
                <w:lang w:val="fr-FR"/>
              </w:rPr>
              <w:t>p</w:t>
            </w:r>
            <w:r w:rsidR="00F750F1"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olitiques </w:t>
            </w:r>
          </w:p>
        </w:tc>
        <w:tc>
          <w:tcPr>
            <w:tcW w:w="2570" w:type="dxa"/>
            <w:tcBorders>
              <w:top w:val="single" w:sz="12" w:space="0" w:color="auto"/>
              <w:right w:val="single" w:sz="12" w:space="0" w:color="auto"/>
            </w:tcBorders>
          </w:tcPr>
          <w:p w:rsidR="00355BE7" w:rsidRPr="00F67C15" w:rsidRDefault="00C3123B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12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Actions de plaidoyer </w:t>
            </w:r>
            <w:proofErr w:type="gramStart"/>
            <w:r w:rsidR="00D57094" w:rsidRPr="007075FB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planifiées</w:t>
            </w:r>
            <w:r w:rsidR="00C2086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  <w:r w:rsidR="00355BE7" w:rsidRPr="00F67C15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proofErr w:type="gramEnd"/>
            <w:r w:rsidR="00355BE7" w:rsidRPr="00F67C1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:rsidR="00355BE7" w:rsidRPr="004F5DBF" w:rsidRDefault="00401E2A" w:rsidP="00B34DBC">
            <w:pPr>
              <w:ind w:right="113"/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Focalisation </w:t>
            </w:r>
            <w:r w:rsidR="00F750F1"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>de</w:t>
            </w:r>
            <w:r w:rsidR="00F750F1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 </w:t>
            </w:r>
            <w:r w:rsidR="00F750F1"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>l</w:t>
            </w:r>
            <w:r w:rsidR="00E3311C">
              <w:rPr>
                <w:rFonts w:asciiTheme="minorHAnsi" w:hAnsiTheme="minorHAnsi" w:cstheme="minorHAnsi"/>
                <w:b/>
                <w:sz w:val="28"/>
                <w:lang w:val="fr-FR"/>
              </w:rPr>
              <w:t>’</w:t>
            </w:r>
            <w:r w:rsidR="00F750F1">
              <w:rPr>
                <w:rFonts w:asciiTheme="minorHAnsi" w:hAnsiTheme="minorHAnsi" w:cstheme="minorHAnsi"/>
                <w:b/>
                <w:sz w:val="28"/>
                <w:lang w:val="fr-FR"/>
              </w:rPr>
              <w:t>a</w:t>
            </w:r>
            <w:r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>ttention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F67C15" w:rsidRPr="00F67C15" w:rsidRDefault="00C3123B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12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Actions de plaidoyer </w:t>
            </w:r>
            <w:proofErr w:type="gramStart"/>
            <w:r w:rsidR="00D57094" w:rsidRPr="00C31746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planifiées</w:t>
            </w:r>
            <w:r w:rsidR="00C2086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  <w:r w:rsidR="00355BE7" w:rsidRPr="00F67C15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proofErr w:type="gramEnd"/>
          </w:p>
          <w:p w:rsidR="00355BE7" w:rsidRPr="00F67C15" w:rsidRDefault="00355BE7" w:rsidP="00F67C1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:rsidR="00355BE7" w:rsidRPr="004F5DBF" w:rsidRDefault="00AF4BB7" w:rsidP="00AA325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Renforcement des </w:t>
            </w:r>
            <w:r w:rsidR="00F750F1">
              <w:rPr>
                <w:rFonts w:asciiTheme="minorHAnsi" w:hAnsiTheme="minorHAnsi" w:cstheme="minorHAnsi"/>
                <w:b/>
                <w:sz w:val="28"/>
                <w:lang w:val="fr-FR"/>
              </w:rPr>
              <w:t>c</w:t>
            </w:r>
            <w:r w:rsidR="00F750F1"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ommunautés </w:t>
            </w:r>
            <w:r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de </w:t>
            </w:r>
            <w:r w:rsidR="00F750F1">
              <w:rPr>
                <w:rFonts w:asciiTheme="minorHAnsi" w:hAnsiTheme="minorHAnsi" w:cstheme="minorHAnsi"/>
                <w:b/>
                <w:sz w:val="28"/>
                <w:lang w:val="fr-FR"/>
              </w:rPr>
              <w:t>p</w:t>
            </w:r>
            <w:r w:rsidR="00F750F1" w:rsidRPr="004F5DBF">
              <w:rPr>
                <w:rFonts w:asciiTheme="minorHAnsi" w:hAnsiTheme="minorHAnsi" w:cstheme="minorHAnsi"/>
                <w:b/>
                <w:sz w:val="28"/>
                <w:lang w:val="fr-FR"/>
              </w:rPr>
              <w:t>olit</w:t>
            </w:r>
            <w:r w:rsidR="00F750F1">
              <w:rPr>
                <w:rFonts w:asciiTheme="minorHAnsi" w:hAnsiTheme="minorHAnsi" w:cstheme="minorHAnsi"/>
                <w:b/>
                <w:sz w:val="28"/>
                <w:lang w:val="fr-FR"/>
              </w:rPr>
              <w:t xml:space="preserve">iques </w:t>
            </w:r>
          </w:p>
        </w:tc>
        <w:tc>
          <w:tcPr>
            <w:tcW w:w="2602" w:type="dxa"/>
            <w:tcBorders>
              <w:top w:val="single" w:sz="12" w:space="0" w:color="auto"/>
              <w:right w:val="single" w:sz="12" w:space="0" w:color="auto"/>
            </w:tcBorders>
          </w:tcPr>
          <w:p w:rsidR="00355BE7" w:rsidRPr="00F67C15" w:rsidRDefault="00C3123B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12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Actions de plaidoyer </w:t>
            </w:r>
            <w:proofErr w:type="gramStart"/>
            <w:r w:rsidR="00D57094" w:rsidRPr="00C31746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planifiées</w:t>
            </w:r>
            <w:r w:rsidR="00C2086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  <w:r w:rsidR="00355BE7" w:rsidRPr="00F67C15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proofErr w:type="gramEnd"/>
            <w:r w:rsidR="00355BE7" w:rsidRPr="00F67C1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55BE7" w:rsidRPr="00683D93">
        <w:trPr>
          <w:trHeight w:val="2771"/>
        </w:trPr>
        <w:tc>
          <w:tcPr>
            <w:tcW w:w="575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:rsidR="00355BE7" w:rsidRPr="00683D93" w:rsidRDefault="00355BE7" w:rsidP="00AA32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70" w:type="dxa"/>
            <w:tcBorders>
              <w:right w:val="single" w:sz="12" w:space="0" w:color="auto"/>
            </w:tcBorders>
          </w:tcPr>
          <w:p w:rsidR="00355BE7" w:rsidRPr="004F5DBF" w:rsidRDefault="0001573D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Ces actions planifiées sont-elles SMART</w:t>
            </w:r>
            <w:r w:rsidR="00472CC1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  <w:r w:rsidR="00355BE7"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?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Si oui, pourquoi ? </w:t>
            </w:r>
          </w:p>
          <w:p w:rsidR="00F67C15" w:rsidRPr="004F5DBF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F67C15" w:rsidRPr="004F5DBF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F67C15" w:rsidRPr="004F5DBF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57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355BE7" w:rsidRPr="00F67C15" w:rsidRDefault="00574752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7D85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Ces actions planifiées sont-elles SMART</w:t>
            </w:r>
            <w:r w:rsidR="00472CC1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  <w:r w:rsidRPr="005E7D85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?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Si oui, pourquoi ?</w:t>
            </w: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67C15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67C15" w:rsidRPr="00F67C15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12" w:space="0" w:color="auto"/>
            </w:tcBorders>
            <w:shd w:val="clear" w:color="auto" w:fill="E7E6E6" w:themeFill="background2"/>
          </w:tcPr>
          <w:p w:rsidR="00355BE7" w:rsidRPr="00683D93" w:rsidRDefault="00355BE7" w:rsidP="00AA32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2" w:type="dxa"/>
            <w:tcBorders>
              <w:right w:val="single" w:sz="12" w:space="0" w:color="auto"/>
            </w:tcBorders>
          </w:tcPr>
          <w:p w:rsidR="00355BE7" w:rsidRPr="00F67C15" w:rsidRDefault="00574752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7D85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Ces actions planifiées sont-elles SMART</w:t>
            </w:r>
            <w:r w:rsidR="00472CC1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  <w:r w:rsidRPr="005E7D85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?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Si oui, pourquoi ?</w:t>
            </w: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55BE7" w:rsidRPr="00F67C15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55BE7" w:rsidRPr="00B34DBC">
        <w:trPr>
          <w:trHeight w:val="56"/>
        </w:trPr>
        <w:tc>
          <w:tcPr>
            <w:tcW w:w="5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:rsidR="00355BE7" w:rsidRPr="00683D93" w:rsidRDefault="00355BE7" w:rsidP="00AA32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70" w:type="dxa"/>
            <w:tcBorders>
              <w:bottom w:val="single" w:sz="12" w:space="0" w:color="auto"/>
              <w:right w:val="single" w:sz="12" w:space="0" w:color="auto"/>
            </w:tcBorders>
          </w:tcPr>
          <w:p w:rsidR="00F67C15" w:rsidRPr="004F5DBF" w:rsidRDefault="00A636E8" w:rsidP="00F67C15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Quelles ressources financières et humaines spécifiques seront nécessaires pour mener à bien ces actions</w:t>
            </w:r>
            <w:r w:rsidR="00B34DBC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  <w:r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?</w:t>
            </w:r>
            <w:r w:rsidR="00F67C15"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</w:p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F67C15" w:rsidRPr="004F5DBF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F67C15" w:rsidRPr="004F5DBF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F67C15" w:rsidRPr="004F5DBF" w:rsidRDefault="00F67C15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57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355BE7" w:rsidRPr="004F5DBF" w:rsidRDefault="00A636E8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Quelles ressources financières et humaines spécifiques seront nécessaires pour mener à bien ces </w:t>
            </w:r>
            <w:r w:rsidR="00B34DBC"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actions ?</w:t>
            </w:r>
          </w:p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57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:rsidR="00355BE7" w:rsidRPr="004F5DBF" w:rsidRDefault="00355BE7" w:rsidP="00AA3258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602" w:type="dxa"/>
            <w:tcBorders>
              <w:bottom w:val="single" w:sz="12" w:space="0" w:color="auto"/>
              <w:right w:val="single" w:sz="12" w:space="0" w:color="auto"/>
            </w:tcBorders>
          </w:tcPr>
          <w:p w:rsidR="00F67C15" w:rsidRPr="004F5DBF" w:rsidRDefault="00A636E8" w:rsidP="00F67C15">
            <w:pP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Quelles ressources financières et humaines spécifiques seront nécessaires pour mener à bien ces </w:t>
            </w:r>
            <w:r w:rsidR="00B34DBC"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actions ?</w:t>
            </w:r>
            <w:r w:rsidR="00F67C15" w:rsidRPr="004F5DB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355BE7" w:rsidRPr="004F5DBF" w:rsidRDefault="00355BE7">
      <w:pPr>
        <w:rPr>
          <w:lang w:val="fr-FR"/>
        </w:rPr>
      </w:pPr>
    </w:p>
    <w:sectPr w:rsidR="00355BE7" w:rsidRPr="004F5DBF" w:rsidSect="00CB04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258" w:rsidRDefault="00AA3258" w:rsidP="00E7561A">
      <w:r>
        <w:separator/>
      </w:r>
    </w:p>
  </w:endnote>
  <w:endnote w:type="continuationSeparator" w:id="0">
    <w:p w:rsidR="00AA3258" w:rsidRDefault="00AA3258" w:rsidP="00E7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258" w:rsidRDefault="00AA3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258" w:rsidRDefault="00AA32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258" w:rsidRDefault="00AA3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258" w:rsidRDefault="00AA3258" w:rsidP="00E7561A">
      <w:r>
        <w:separator/>
      </w:r>
    </w:p>
  </w:footnote>
  <w:footnote w:type="continuationSeparator" w:id="0">
    <w:p w:rsidR="00AA3258" w:rsidRDefault="00AA3258" w:rsidP="00E75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258" w:rsidRDefault="00AA3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258" w:rsidRPr="004F5DBF" w:rsidRDefault="00AA3258" w:rsidP="00E7561A">
    <w:pPr>
      <w:pStyle w:val="Header"/>
      <w:jc w:val="right"/>
      <w:rPr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  <w:r w:rsidRPr="004F5DBF">
      <w:rPr>
        <w:sz w:val="28"/>
        <w:szCs w:val="28"/>
        <w:lang w:val="fr-FR"/>
      </w:rPr>
      <w:t xml:space="preserve"> </w:t>
    </w:r>
  </w:p>
  <w:p w:rsidR="00AA3258" w:rsidRPr="004F5DBF" w:rsidRDefault="00AA3258" w:rsidP="00E7561A">
    <w:pPr>
      <w:pStyle w:val="Header"/>
      <w:jc w:val="right"/>
      <w:rPr>
        <w:b/>
        <w:sz w:val="32"/>
        <w:szCs w:val="32"/>
        <w:lang w:val="fr-FR"/>
      </w:rPr>
    </w:pPr>
    <w:r>
      <w:rPr>
        <w:b/>
        <w:sz w:val="32"/>
        <w:szCs w:val="32"/>
        <w:lang w:val="fr-FR"/>
      </w:rPr>
      <w:t xml:space="preserve">EXERCICE PORTANT SUR LE PLAIDOYER ÉCLAIRÉ PAR DES DONNÉES PROBANTES </w:t>
    </w:r>
    <w:r w:rsidRPr="004F5DBF">
      <w:rPr>
        <w:b/>
        <w:sz w:val="32"/>
        <w:szCs w:val="32"/>
        <w:lang w:val="fr-FR"/>
      </w:rPr>
      <w:t>(YL7E)</w:t>
    </w:r>
  </w:p>
  <w:p w:rsidR="00AA3258" w:rsidRPr="004F5DBF" w:rsidRDefault="00AA3258">
    <w:pPr>
      <w:pStyle w:val="Header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258" w:rsidRDefault="00AA32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61A"/>
    <w:rsid w:val="0001573D"/>
    <w:rsid w:val="000F78C8"/>
    <w:rsid w:val="00167BB6"/>
    <w:rsid w:val="00167BEB"/>
    <w:rsid w:val="001B2D80"/>
    <w:rsid w:val="00267A8C"/>
    <w:rsid w:val="002A1137"/>
    <w:rsid w:val="002C75C4"/>
    <w:rsid w:val="002F57E5"/>
    <w:rsid w:val="00312919"/>
    <w:rsid w:val="00355BE7"/>
    <w:rsid w:val="00372009"/>
    <w:rsid w:val="00391BFB"/>
    <w:rsid w:val="003A37BB"/>
    <w:rsid w:val="003E4891"/>
    <w:rsid w:val="003E52A4"/>
    <w:rsid w:val="00401E2A"/>
    <w:rsid w:val="0040246F"/>
    <w:rsid w:val="00472CC1"/>
    <w:rsid w:val="004E130D"/>
    <w:rsid w:val="004F5DBF"/>
    <w:rsid w:val="00574752"/>
    <w:rsid w:val="005B5094"/>
    <w:rsid w:val="005B75C2"/>
    <w:rsid w:val="0065195B"/>
    <w:rsid w:val="00655D4C"/>
    <w:rsid w:val="006624F4"/>
    <w:rsid w:val="00683D93"/>
    <w:rsid w:val="00692D2E"/>
    <w:rsid w:val="00696FA5"/>
    <w:rsid w:val="006C798E"/>
    <w:rsid w:val="006F398A"/>
    <w:rsid w:val="007075FB"/>
    <w:rsid w:val="00895ABD"/>
    <w:rsid w:val="008A04A9"/>
    <w:rsid w:val="008C4413"/>
    <w:rsid w:val="0099345C"/>
    <w:rsid w:val="00A34EC7"/>
    <w:rsid w:val="00A56D67"/>
    <w:rsid w:val="00A636E8"/>
    <w:rsid w:val="00A97330"/>
    <w:rsid w:val="00AA3258"/>
    <w:rsid w:val="00AF4BB7"/>
    <w:rsid w:val="00B27ED6"/>
    <w:rsid w:val="00B34DBC"/>
    <w:rsid w:val="00B815F6"/>
    <w:rsid w:val="00BE0B82"/>
    <w:rsid w:val="00BE7526"/>
    <w:rsid w:val="00C2086F"/>
    <w:rsid w:val="00C3123B"/>
    <w:rsid w:val="00C31746"/>
    <w:rsid w:val="00CB0405"/>
    <w:rsid w:val="00CD1CB3"/>
    <w:rsid w:val="00CD50DA"/>
    <w:rsid w:val="00CF32AC"/>
    <w:rsid w:val="00D57094"/>
    <w:rsid w:val="00D57C81"/>
    <w:rsid w:val="00E3311C"/>
    <w:rsid w:val="00E33DD8"/>
    <w:rsid w:val="00E34290"/>
    <w:rsid w:val="00E716EA"/>
    <w:rsid w:val="00E7561A"/>
    <w:rsid w:val="00F67C15"/>
    <w:rsid w:val="00F75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61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561A"/>
  </w:style>
  <w:style w:type="paragraph" w:styleId="Footer">
    <w:name w:val="footer"/>
    <w:basedOn w:val="Normal"/>
    <w:link w:val="FooterChar"/>
    <w:uiPriority w:val="99"/>
    <w:unhideWhenUsed/>
    <w:rsid w:val="00E7561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561A"/>
  </w:style>
  <w:style w:type="table" w:styleId="TableGrid">
    <w:name w:val="Table Grid"/>
    <w:basedOn w:val="TableNormal"/>
    <w:uiPriority w:val="39"/>
    <w:rsid w:val="00E75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D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D6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B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BF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BF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BCD8B-6A7B-4660-BE80-31079A3B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Megquier</dc:creator>
  <cp:keywords/>
  <dc:description/>
  <cp:lastModifiedBy>Alfred Hylton-Dei</cp:lastModifiedBy>
  <cp:revision>2</cp:revision>
  <cp:lastPrinted>2018-11-27T16:15:00Z</cp:lastPrinted>
  <dcterms:created xsi:type="dcterms:W3CDTF">2020-01-13T16:56:00Z</dcterms:created>
  <dcterms:modified xsi:type="dcterms:W3CDTF">2020-01-13T16:56:00Z</dcterms:modified>
</cp:coreProperties>
</file>