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2E9CB" w14:textId="2B553A31" w:rsidR="00635A8F" w:rsidRPr="00635A8F" w:rsidRDefault="00635A8F" w:rsidP="00635A8F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4"/>
          <w:lang w:val="es-NI"/>
        </w:rPr>
      </w:pPr>
      <w:r w:rsidRPr="00635A8F">
        <w:rPr>
          <w:rFonts w:ascii="Times New Roman" w:hAnsi="Times New Roman" w:cs="Times New Roman"/>
          <w:b/>
          <w:sz w:val="28"/>
          <w:szCs w:val="24"/>
          <w:lang w:val="es-NI"/>
        </w:rPr>
        <w:t>Aborda</w:t>
      </w:r>
      <w:r w:rsidR="009009DD">
        <w:rPr>
          <w:rFonts w:ascii="Times New Roman" w:hAnsi="Times New Roman" w:cs="Times New Roman"/>
          <w:b/>
          <w:sz w:val="28"/>
          <w:szCs w:val="24"/>
          <w:lang w:val="es-NI"/>
        </w:rPr>
        <w:t>ndo</w:t>
      </w:r>
      <w:r w:rsidRPr="00635A8F">
        <w:rPr>
          <w:rFonts w:ascii="Times New Roman" w:hAnsi="Times New Roman" w:cs="Times New Roman"/>
          <w:b/>
          <w:sz w:val="28"/>
          <w:szCs w:val="24"/>
          <w:lang w:val="es-NI"/>
        </w:rPr>
        <w:t xml:space="preserve"> la desigualdad de la planificación familiar en las regiones áridas y semiáridas de Kenia</w:t>
      </w:r>
    </w:p>
    <w:p w14:paraId="57C418B2" w14:textId="1040E84E" w:rsidR="00114342" w:rsidRPr="00635A8F" w:rsidRDefault="00114342" w:rsidP="00114342">
      <w:pPr>
        <w:rPr>
          <w:rFonts w:ascii="Times New Roman" w:hAnsi="Times New Roman" w:cs="Times New Roman"/>
          <w:b/>
          <w:sz w:val="24"/>
          <w:szCs w:val="24"/>
          <w:lang w:val="es-NI"/>
        </w:rPr>
      </w:pPr>
      <w:r w:rsidRPr="00635A8F">
        <w:rPr>
          <w:rFonts w:ascii="Times New Roman" w:hAnsi="Times New Roman" w:cs="Times New Roman"/>
          <w:b/>
          <w:sz w:val="24"/>
          <w:szCs w:val="24"/>
          <w:lang w:val="es-NI"/>
        </w:rPr>
        <w:t xml:space="preserve">I. </w:t>
      </w:r>
      <w:r w:rsidR="00635A8F" w:rsidRPr="00635A8F">
        <w:rPr>
          <w:rFonts w:ascii="Times New Roman" w:hAnsi="Times New Roman" w:cs="Times New Roman"/>
          <w:b/>
          <w:sz w:val="24"/>
          <w:szCs w:val="24"/>
          <w:lang w:val="es-NI"/>
        </w:rPr>
        <w:t>Explica</w:t>
      </w:r>
      <w:r w:rsidR="00BC0E5D">
        <w:rPr>
          <w:rFonts w:ascii="Times New Roman" w:hAnsi="Times New Roman" w:cs="Times New Roman"/>
          <w:b/>
          <w:sz w:val="24"/>
          <w:szCs w:val="24"/>
          <w:lang w:val="es-NI"/>
        </w:rPr>
        <w:t xml:space="preserve">ndo </w:t>
      </w:r>
      <w:r w:rsidR="00635A8F" w:rsidRPr="00635A8F">
        <w:rPr>
          <w:rFonts w:ascii="Times New Roman" w:hAnsi="Times New Roman" w:cs="Times New Roman"/>
          <w:b/>
          <w:sz w:val="24"/>
          <w:szCs w:val="24"/>
          <w:lang w:val="es-NI"/>
        </w:rPr>
        <w:t xml:space="preserve">la </w:t>
      </w:r>
      <w:r w:rsidR="00485DE1">
        <w:rPr>
          <w:rFonts w:ascii="Times New Roman" w:hAnsi="Times New Roman" w:cs="Times New Roman"/>
          <w:b/>
          <w:sz w:val="24"/>
          <w:szCs w:val="24"/>
          <w:lang w:val="es-NI"/>
        </w:rPr>
        <w:t>P</w:t>
      </w:r>
      <w:r w:rsidR="00635A8F" w:rsidRPr="00635A8F">
        <w:rPr>
          <w:rFonts w:ascii="Times New Roman" w:hAnsi="Times New Roman" w:cs="Times New Roman"/>
          <w:b/>
          <w:sz w:val="24"/>
          <w:szCs w:val="24"/>
          <w:lang w:val="es-NI"/>
        </w:rPr>
        <w:t xml:space="preserve">lanificación </w:t>
      </w:r>
      <w:r w:rsidR="00485DE1">
        <w:rPr>
          <w:rFonts w:ascii="Times New Roman" w:hAnsi="Times New Roman" w:cs="Times New Roman"/>
          <w:b/>
          <w:sz w:val="24"/>
          <w:szCs w:val="24"/>
          <w:lang w:val="es-NI"/>
        </w:rPr>
        <w:t>F</w:t>
      </w:r>
      <w:r w:rsidR="00635A8F" w:rsidRPr="00635A8F">
        <w:rPr>
          <w:rFonts w:ascii="Times New Roman" w:hAnsi="Times New Roman" w:cs="Times New Roman"/>
          <w:b/>
          <w:sz w:val="24"/>
          <w:szCs w:val="24"/>
          <w:lang w:val="es-NI"/>
        </w:rPr>
        <w:t>amilia</w:t>
      </w:r>
      <w:r w:rsidR="0054106C">
        <w:rPr>
          <w:rFonts w:ascii="Times New Roman" w:hAnsi="Times New Roman" w:cs="Times New Roman"/>
          <w:b/>
          <w:sz w:val="24"/>
          <w:szCs w:val="24"/>
          <w:lang w:val="es-NI"/>
        </w:rPr>
        <w:t>r</w:t>
      </w:r>
      <w:r w:rsidR="00635A8F" w:rsidRPr="00635A8F">
        <w:rPr>
          <w:rFonts w:ascii="Times New Roman" w:hAnsi="Times New Roman" w:cs="Times New Roman"/>
          <w:b/>
          <w:sz w:val="24"/>
          <w:szCs w:val="24"/>
          <w:lang w:val="es-NI"/>
        </w:rPr>
        <w:t xml:space="preserve"> en Kenia</w:t>
      </w:r>
    </w:p>
    <w:p w14:paraId="44888F80" w14:textId="456ABA0D" w:rsidR="006D6228" w:rsidRPr="00635A8F" w:rsidRDefault="004A353D" w:rsidP="00635A8F">
      <w:pPr>
        <w:jc w:val="both"/>
        <w:rPr>
          <w:rFonts w:ascii="Times New Roman" w:hAnsi="Times New Roman" w:cs="Times New Roman"/>
          <w:sz w:val="24"/>
          <w:szCs w:val="24"/>
          <w:lang w:val="es-NI"/>
        </w:rPr>
      </w:pPr>
      <w:r>
        <w:rPr>
          <w:rFonts w:ascii="Times New Roman" w:hAnsi="Times New Roman" w:cs="Times New Roman"/>
          <w:sz w:val="24"/>
          <w:szCs w:val="24"/>
          <w:lang w:val="es-NI"/>
        </w:rPr>
        <w:t>La p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lanificación familiar (PF) es la práctica de elegir el número de </w:t>
      </w:r>
      <w:r>
        <w:rPr>
          <w:rFonts w:ascii="Times New Roman" w:hAnsi="Times New Roman" w:cs="Times New Roman"/>
          <w:sz w:val="24"/>
          <w:szCs w:val="24"/>
          <w:lang w:val="es-NI"/>
        </w:rPr>
        <w:t xml:space="preserve">hijos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en una familia y los intervalos entre partos, particularmente por medio de </w:t>
      </w:r>
      <w:r>
        <w:rPr>
          <w:rFonts w:ascii="Times New Roman" w:hAnsi="Times New Roman" w:cs="Times New Roman"/>
          <w:sz w:val="24"/>
          <w:szCs w:val="24"/>
          <w:lang w:val="es-NI"/>
        </w:rPr>
        <w:t>métodos anticonceptivos modernos</w:t>
      </w:r>
      <w:r w:rsidR="006D6228" w:rsidRPr="00C90E3C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635A8F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817C4D">
        <w:rPr>
          <w:rFonts w:ascii="Times New Roman" w:hAnsi="Times New Roman" w:cs="Times New Roman"/>
          <w:sz w:val="24"/>
          <w:szCs w:val="24"/>
          <w:lang w:val="es-NI"/>
        </w:rPr>
        <w:t xml:space="preserve">  En la a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ctual</w:t>
      </w:r>
      <w:r w:rsidR="00817C4D">
        <w:rPr>
          <w:rFonts w:ascii="Times New Roman" w:hAnsi="Times New Roman" w:cs="Times New Roman"/>
          <w:sz w:val="24"/>
          <w:szCs w:val="24"/>
          <w:lang w:val="es-NI"/>
        </w:rPr>
        <w:t>idad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, 225 millones </w:t>
      </w:r>
      <w:r w:rsidR="00902747">
        <w:rPr>
          <w:rFonts w:ascii="Times New Roman" w:hAnsi="Times New Roman" w:cs="Times New Roman"/>
          <w:sz w:val="24"/>
          <w:szCs w:val="24"/>
          <w:lang w:val="es-NI"/>
        </w:rPr>
        <w:t xml:space="preserve">de </w:t>
      </w:r>
      <w:r w:rsidR="00902747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mujeres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en países en </w:t>
      </w:r>
      <w:r w:rsidR="00DA75CE">
        <w:rPr>
          <w:rFonts w:ascii="Times New Roman" w:hAnsi="Times New Roman" w:cs="Times New Roman"/>
          <w:sz w:val="24"/>
          <w:szCs w:val="24"/>
          <w:lang w:val="es-NI"/>
        </w:rPr>
        <w:t xml:space="preserve">vía de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desarrollo </w:t>
      </w:r>
      <w:r w:rsidR="00C06638">
        <w:rPr>
          <w:rFonts w:ascii="Times New Roman" w:hAnsi="Times New Roman" w:cs="Times New Roman"/>
          <w:sz w:val="24"/>
          <w:szCs w:val="24"/>
          <w:lang w:val="es-NI"/>
        </w:rPr>
        <w:t xml:space="preserve">les gustaría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elegir el número, </w:t>
      </w:r>
      <w:r w:rsidR="00C06638">
        <w:rPr>
          <w:rFonts w:ascii="Times New Roman" w:hAnsi="Times New Roman" w:cs="Times New Roman"/>
          <w:sz w:val="24"/>
          <w:szCs w:val="24"/>
          <w:lang w:val="es-NI"/>
        </w:rPr>
        <w:t>momento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y espaciamiento de </w:t>
      </w:r>
      <w:r w:rsidR="00C06638">
        <w:rPr>
          <w:rFonts w:ascii="Times New Roman" w:hAnsi="Times New Roman" w:cs="Times New Roman"/>
          <w:sz w:val="24"/>
          <w:szCs w:val="24"/>
          <w:lang w:val="es-NI"/>
        </w:rPr>
        <w:t>sus partos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, pero no están usando ningún método anticonceptivo. Mientras que el uso de anticonceptivos ha aumentado a nivel mundial,</w:t>
      </w:r>
      <w:r w:rsidR="0059465C">
        <w:rPr>
          <w:rFonts w:ascii="Times New Roman" w:hAnsi="Times New Roman" w:cs="Times New Roman"/>
          <w:sz w:val="24"/>
          <w:szCs w:val="24"/>
          <w:lang w:val="es-NI"/>
        </w:rPr>
        <w:t xml:space="preserve"> este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sigue siendo baj</w:t>
      </w:r>
      <w:r w:rsidR="0059465C">
        <w:rPr>
          <w:rFonts w:ascii="Times New Roman" w:hAnsi="Times New Roman" w:cs="Times New Roman"/>
          <w:sz w:val="24"/>
          <w:szCs w:val="24"/>
          <w:lang w:val="es-NI"/>
        </w:rPr>
        <w:t>o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en África </w:t>
      </w:r>
      <w:r w:rsidR="0090042F">
        <w:rPr>
          <w:rFonts w:ascii="Times New Roman" w:hAnsi="Times New Roman" w:cs="Times New Roman"/>
          <w:sz w:val="24"/>
          <w:szCs w:val="24"/>
          <w:lang w:val="es-NI"/>
        </w:rPr>
        <w:t>S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ubsahariana. </w:t>
      </w:r>
      <w:r w:rsidR="0090042F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7A6FA2">
        <w:rPr>
          <w:rFonts w:ascii="Times New Roman" w:hAnsi="Times New Roman" w:cs="Times New Roman"/>
          <w:sz w:val="24"/>
          <w:szCs w:val="24"/>
          <w:lang w:val="es-NI"/>
        </w:rPr>
        <w:t xml:space="preserve">A nivel mundial, </w:t>
      </w:r>
      <w:r w:rsidR="00E11A7C">
        <w:rPr>
          <w:rFonts w:ascii="Times New Roman" w:hAnsi="Times New Roman" w:cs="Times New Roman"/>
          <w:sz w:val="24"/>
          <w:szCs w:val="24"/>
          <w:lang w:val="es-NI"/>
        </w:rPr>
        <w:t xml:space="preserve">el </w:t>
      </w:r>
      <w:r w:rsidR="00E11A7C" w:rsidRPr="00635A8F">
        <w:rPr>
          <w:rFonts w:ascii="Times New Roman" w:hAnsi="Times New Roman" w:cs="Times New Roman"/>
          <w:sz w:val="24"/>
          <w:szCs w:val="24"/>
          <w:lang w:val="es-NI"/>
        </w:rPr>
        <w:t>62</w:t>
      </w:r>
      <w:r w:rsidR="00E11A7C">
        <w:rPr>
          <w:rFonts w:ascii="Times New Roman" w:hAnsi="Times New Roman" w:cs="Times New Roman"/>
          <w:sz w:val="24"/>
          <w:szCs w:val="24"/>
          <w:lang w:val="es-NI"/>
        </w:rPr>
        <w:t xml:space="preserve">% de </w:t>
      </w:r>
      <w:r w:rsidR="009960B9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las mujeres casadas </w:t>
      </w:r>
      <w:r w:rsidR="009960B9">
        <w:rPr>
          <w:rFonts w:ascii="Times New Roman" w:hAnsi="Times New Roman" w:cs="Times New Roman"/>
          <w:sz w:val="24"/>
          <w:szCs w:val="24"/>
          <w:lang w:val="es-NI"/>
        </w:rPr>
        <w:t>entre</w:t>
      </w:r>
      <w:r w:rsidR="009960B9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15</w:t>
      </w:r>
      <w:r w:rsidR="009960B9">
        <w:rPr>
          <w:rFonts w:ascii="Times New Roman" w:hAnsi="Times New Roman" w:cs="Times New Roman"/>
          <w:sz w:val="24"/>
          <w:szCs w:val="24"/>
          <w:lang w:val="es-NI"/>
        </w:rPr>
        <w:t>-</w:t>
      </w:r>
      <w:r w:rsidR="009960B9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49 años </w:t>
      </w:r>
      <w:r w:rsidR="00532AEA">
        <w:rPr>
          <w:rFonts w:ascii="Times New Roman" w:hAnsi="Times New Roman" w:cs="Times New Roman"/>
          <w:sz w:val="24"/>
          <w:szCs w:val="24"/>
          <w:lang w:val="es-NI"/>
        </w:rPr>
        <w:t xml:space="preserve">usa métodos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anticoncep</w:t>
      </w:r>
      <w:r w:rsidR="0090042F">
        <w:rPr>
          <w:rFonts w:ascii="Times New Roman" w:hAnsi="Times New Roman" w:cs="Times New Roman"/>
          <w:sz w:val="24"/>
          <w:szCs w:val="24"/>
          <w:lang w:val="es-NI"/>
        </w:rPr>
        <w:t xml:space="preserve">tivos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modern</w:t>
      </w:r>
      <w:r w:rsidR="0090042F">
        <w:rPr>
          <w:rFonts w:ascii="Times New Roman" w:hAnsi="Times New Roman" w:cs="Times New Roman"/>
          <w:sz w:val="24"/>
          <w:szCs w:val="24"/>
          <w:lang w:val="es-NI"/>
        </w:rPr>
        <w:t>os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, pero </w:t>
      </w:r>
      <w:r w:rsidR="0055026D" w:rsidRPr="00635A8F">
        <w:rPr>
          <w:rFonts w:ascii="Times New Roman" w:hAnsi="Times New Roman" w:cs="Times New Roman"/>
          <w:sz w:val="24"/>
          <w:szCs w:val="24"/>
          <w:lang w:val="es-NI"/>
        </w:rPr>
        <w:t>en África</w:t>
      </w:r>
      <w:r w:rsidR="0055026D">
        <w:rPr>
          <w:rFonts w:ascii="Times New Roman" w:hAnsi="Times New Roman" w:cs="Times New Roman"/>
          <w:sz w:val="24"/>
          <w:szCs w:val="24"/>
          <w:lang w:val="es-NI"/>
        </w:rPr>
        <w:t xml:space="preserve"> esta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tasa </w:t>
      </w:r>
      <w:r w:rsidR="00635A8F">
        <w:rPr>
          <w:rFonts w:ascii="Times New Roman" w:hAnsi="Times New Roman" w:cs="Times New Roman"/>
          <w:sz w:val="24"/>
          <w:szCs w:val="24"/>
          <w:lang w:val="es-NI"/>
        </w:rPr>
        <w:t xml:space="preserve">es solamente </w:t>
      </w:r>
      <w:r w:rsidR="00ED131E">
        <w:rPr>
          <w:rFonts w:ascii="Times New Roman" w:hAnsi="Times New Roman" w:cs="Times New Roman"/>
          <w:sz w:val="24"/>
          <w:szCs w:val="24"/>
          <w:lang w:val="es-NI"/>
        </w:rPr>
        <w:t xml:space="preserve">del </w:t>
      </w:r>
      <w:r w:rsidR="00635A8F">
        <w:rPr>
          <w:rFonts w:ascii="Times New Roman" w:hAnsi="Times New Roman" w:cs="Times New Roman"/>
          <w:sz w:val="24"/>
          <w:szCs w:val="24"/>
          <w:lang w:val="es-NI"/>
        </w:rPr>
        <w:t>27.6</w:t>
      </w:r>
      <w:r w:rsidR="00ED131E">
        <w:rPr>
          <w:rFonts w:ascii="Times New Roman" w:hAnsi="Times New Roman" w:cs="Times New Roman"/>
          <w:sz w:val="24"/>
          <w:szCs w:val="24"/>
          <w:lang w:val="es-NI"/>
        </w:rPr>
        <w:t>%</w:t>
      </w:r>
      <w:r w:rsidR="00CC1BDE" w:rsidRPr="00C90E3C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635A8F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ED131E">
        <w:rPr>
          <w:rFonts w:ascii="Times New Roman" w:hAnsi="Times New Roman" w:cs="Times New Roman"/>
          <w:sz w:val="24"/>
          <w:szCs w:val="24"/>
          <w:lang w:val="es-NI"/>
        </w:rPr>
        <w:t xml:space="preserve"> 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Sin embargo, Kenia </w:t>
      </w:r>
      <w:r w:rsidR="00D87240">
        <w:rPr>
          <w:rFonts w:ascii="Times New Roman" w:hAnsi="Times New Roman" w:cs="Times New Roman"/>
          <w:sz w:val="24"/>
          <w:szCs w:val="24"/>
          <w:lang w:val="es-NI"/>
        </w:rPr>
        <w:t>se diferencia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de esta tendencia ya que </w:t>
      </w:r>
      <w:r w:rsidR="00C17533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aproximadamente </w:t>
      </w:r>
      <w:r w:rsidR="00C17533">
        <w:rPr>
          <w:rFonts w:ascii="Times New Roman" w:hAnsi="Times New Roman" w:cs="Times New Roman"/>
          <w:sz w:val="24"/>
          <w:szCs w:val="24"/>
          <w:lang w:val="es-NI"/>
        </w:rPr>
        <w:t xml:space="preserve">el </w:t>
      </w:r>
      <w:r w:rsidR="00C17533" w:rsidRPr="00635A8F">
        <w:rPr>
          <w:rFonts w:ascii="Times New Roman" w:hAnsi="Times New Roman" w:cs="Times New Roman"/>
          <w:sz w:val="24"/>
          <w:szCs w:val="24"/>
          <w:lang w:val="es-NI"/>
        </w:rPr>
        <w:t>58</w:t>
      </w:r>
      <w:r w:rsidR="00C17533">
        <w:rPr>
          <w:rFonts w:ascii="Times New Roman" w:hAnsi="Times New Roman" w:cs="Times New Roman"/>
          <w:sz w:val="24"/>
          <w:szCs w:val="24"/>
          <w:lang w:val="es-NI"/>
        </w:rPr>
        <w:t xml:space="preserve">% </w:t>
      </w:r>
      <w:r w:rsidR="003F6B4C">
        <w:rPr>
          <w:rFonts w:ascii="Times New Roman" w:hAnsi="Times New Roman" w:cs="Times New Roman"/>
          <w:sz w:val="24"/>
          <w:szCs w:val="24"/>
          <w:lang w:val="es-NI"/>
        </w:rPr>
        <w:t>de las</w:t>
      </w:r>
      <w:r w:rsidR="003F6B4C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mujeres casadas </w:t>
      </w:r>
      <w:r w:rsidR="003F6B4C">
        <w:rPr>
          <w:rFonts w:ascii="Times New Roman" w:hAnsi="Times New Roman" w:cs="Times New Roman"/>
          <w:sz w:val="24"/>
          <w:szCs w:val="24"/>
          <w:lang w:val="es-NI"/>
        </w:rPr>
        <w:t xml:space="preserve">entre 15-49 años </w:t>
      </w:r>
      <w:r w:rsidR="00CA2C5C">
        <w:rPr>
          <w:rFonts w:ascii="Times New Roman" w:hAnsi="Times New Roman" w:cs="Times New Roman"/>
          <w:sz w:val="24"/>
          <w:szCs w:val="24"/>
          <w:lang w:val="es-NI"/>
        </w:rPr>
        <w:t xml:space="preserve">utiliza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anticoncep</w:t>
      </w:r>
      <w:r w:rsidR="008812FD">
        <w:rPr>
          <w:rFonts w:ascii="Times New Roman" w:hAnsi="Times New Roman" w:cs="Times New Roman"/>
          <w:sz w:val="24"/>
          <w:szCs w:val="24"/>
          <w:lang w:val="es-NI"/>
        </w:rPr>
        <w:t xml:space="preserve">tivos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modern</w:t>
      </w:r>
      <w:r w:rsidR="008812FD">
        <w:rPr>
          <w:rFonts w:ascii="Times New Roman" w:hAnsi="Times New Roman" w:cs="Times New Roman"/>
          <w:sz w:val="24"/>
          <w:szCs w:val="24"/>
          <w:lang w:val="es-NI"/>
        </w:rPr>
        <w:t>os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CA2C5C">
        <w:rPr>
          <w:rFonts w:ascii="Times New Roman" w:hAnsi="Times New Roman" w:cs="Times New Roman"/>
          <w:sz w:val="24"/>
          <w:szCs w:val="24"/>
          <w:lang w:val="es-NI"/>
        </w:rPr>
        <w:t xml:space="preserve">lo que </w:t>
      </w:r>
      <w:r w:rsidR="00F90A1A">
        <w:rPr>
          <w:rFonts w:ascii="Times New Roman" w:hAnsi="Times New Roman" w:cs="Times New Roman"/>
          <w:sz w:val="24"/>
          <w:szCs w:val="24"/>
          <w:lang w:val="es-NI"/>
        </w:rPr>
        <w:t xml:space="preserve">casi </w:t>
      </w:r>
      <w:r w:rsidR="00B93D45">
        <w:rPr>
          <w:rFonts w:ascii="Times New Roman" w:hAnsi="Times New Roman" w:cs="Times New Roman"/>
          <w:sz w:val="24"/>
          <w:szCs w:val="24"/>
          <w:lang w:val="es-NI"/>
        </w:rPr>
        <w:t>duplica el</w:t>
      </w:r>
      <w:r w:rsidR="00F90A1A">
        <w:rPr>
          <w:rFonts w:ascii="Times New Roman" w:hAnsi="Times New Roman" w:cs="Times New Roman"/>
          <w:sz w:val="24"/>
          <w:szCs w:val="24"/>
          <w:lang w:val="es-NI"/>
        </w:rPr>
        <w:t xml:space="preserve"> promedio </w:t>
      </w:r>
      <w:r w:rsidR="002D122E">
        <w:rPr>
          <w:rFonts w:ascii="Times New Roman" w:hAnsi="Times New Roman" w:cs="Times New Roman"/>
          <w:sz w:val="24"/>
          <w:szCs w:val="24"/>
          <w:lang w:val="es-NI"/>
        </w:rPr>
        <w:t>de</w:t>
      </w:r>
      <w:r w:rsidR="00F90A1A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África </w:t>
      </w:r>
      <w:r w:rsidR="00E2691B">
        <w:rPr>
          <w:rFonts w:ascii="Times New Roman" w:hAnsi="Times New Roman" w:cs="Times New Roman"/>
          <w:sz w:val="24"/>
          <w:szCs w:val="24"/>
          <w:lang w:val="es-NI"/>
        </w:rPr>
        <w:t>Oriental</w:t>
      </w:r>
      <w:r w:rsidR="00114342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="00635A8F">
        <w:rPr>
          <w:rFonts w:ascii="Times New Roman" w:hAnsi="Times New Roman" w:cs="Times New Roman"/>
          <w:sz w:val="24"/>
          <w:szCs w:val="24"/>
          <w:lang w:val="es-NI"/>
        </w:rPr>
        <w:t>.</w:t>
      </w:r>
    </w:p>
    <w:p w14:paraId="730B48CF" w14:textId="69036208" w:rsidR="00635A8F" w:rsidRDefault="005B2175" w:rsidP="00635A8F">
      <w:pPr>
        <w:jc w:val="both"/>
        <w:rPr>
          <w:rFonts w:ascii="Times New Roman" w:hAnsi="Times New Roman" w:cs="Times New Roman"/>
          <w:sz w:val="24"/>
          <w:szCs w:val="24"/>
          <w:lang w:val="es-NI"/>
        </w:rPr>
      </w:pPr>
      <w:r>
        <w:rPr>
          <w:rFonts w:ascii="Times New Roman" w:hAnsi="Times New Roman" w:cs="Times New Roman"/>
          <w:sz w:val="24"/>
          <w:szCs w:val="24"/>
          <w:lang w:val="es-NI"/>
        </w:rPr>
        <w:t>En</w:t>
      </w:r>
      <w:r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Kenia</w:t>
      </w:r>
      <w:r>
        <w:rPr>
          <w:rFonts w:ascii="Times New Roman" w:hAnsi="Times New Roman" w:cs="Times New Roman"/>
          <w:sz w:val="24"/>
          <w:szCs w:val="24"/>
          <w:lang w:val="es-NI"/>
        </w:rPr>
        <w:t>, la ta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sa de anticonceptivos modernos ha aumentado en los últimos diez años, de</w:t>
      </w:r>
      <w:r w:rsidR="006107ED">
        <w:rPr>
          <w:rFonts w:ascii="Times New Roman" w:hAnsi="Times New Roman" w:cs="Times New Roman"/>
          <w:sz w:val="24"/>
          <w:szCs w:val="24"/>
          <w:lang w:val="es-NI"/>
        </w:rPr>
        <w:t>l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31.5</w:t>
      </w:r>
      <w:r w:rsidR="006107ED">
        <w:rPr>
          <w:rFonts w:ascii="Times New Roman" w:hAnsi="Times New Roman" w:cs="Times New Roman"/>
          <w:sz w:val="24"/>
          <w:szCs w:val="24"/>
          <w:lang w:val="es-NI"/>
        </w:rPr>
        <w:t>%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a</w:t>
      </w:r>
      <w:r w:rsidR="006107ED">
        <w:rPr>
          <w:rFonts w:ascii="Times New Roman" w:hAnsi="Times New Roman" w:cs="Times New Roman"/>
          <w:sz w:val="24"/>
          <w:szCs w:val="24"/>
          <w:lang w:val="es-NI"/>
        </w:rPr>
        <w:t>l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53</w:t>
      </w:r>
      <w:r w:rsidR="006107ED">
        <w:rPr>
          <w:rFonts w:ascii="Times New Roman" w:hAnsi="Times New Roman" w:cs="Times New Roman"/>
          <w:sz w:val="24"/>
          <w:szCs w:val="24"/>
          <w:lang w:val="es-NI"/>
        </w:rPr>
        <w:t>%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. </w:t>
      </w:r>
      <w:r w:rsidR="00801F73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F92ECE">
        <w:rPr>
          <w:rFonts w:ascii="Times New Roman" w:hAnsi="Times New Roman" w:cs="Times New Roman"/>
          <w:sz w:val="24"/>
          <w:szCs w:val="24"/>
          <w:lang w:val="es-NI"/>
        </w:rPr>
        <w:t>A lo largo de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Kenia, el uso actual de anticoncep</w:t>
      </w:r>
      <w:r w:rsidR="00801F73">
        <w:rPr>
          <w:rFonts w:ascii="Times New Roman" w:hAnsi="Times New Roman" w:cs="Times New Roman"/>
          <w:sz w:val="24"/>
          <w:szCs w:val="24"/>
          <w:lang w:val="es-NI"/>
        </w:rPr>
        <w:t xml:space="preserve">tivos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modern</w:t>
      </w:r>
      <w:r w:rsidR="00801F73">
        <w:rPr>
          <w:rFonts w:ascii="Times New Roman" w:hAnsi="Times New Roman" w:cs="Times New Roman"/>
          <w:sz w:val="24"/>
          <w:szCs w:val="24"/>
          <w:lang w:val="es-NI"/>
        </w:rPr>
        <w:t>os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varía </w:t>
      </w:r>
      <w:r w:rsidR="00801F73">
        <w:rPr>
          <w:rFonts w:ascii="Times New Roman" w:hAnsi="Times New Roman" w:cs="Times New Roman"/>
          <w:sz w:val="24"/>
          <w:szCs w:val="24"/>
          <w:lang w:val="es-NI"/>
        </w:rPr>
        <w:t xml:space="preserve">en cada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región. </w:t>
      </w:r>
      <w:r w:rsidR="00801F73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8D18E0">
        <w:rPr>
          <w:rFonts w:ascii="Times New Roman" w:hAnsi="Times New Roman" w:cs="Times New Roman"/>
          <w:sz w:val="24"/>
          <w:szCs w:val="24"/>
          <w:lang w:val="es-NI"/>
        </w:rPr>
        <w:t>En la mayoría de las re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giones</w:t>
      </w:r>
      <w:r w:rsidR="008D18E0">
        <w:rPr>
          <w:rFonts w:ascii="Times New Roman" w:hAnsi="Times New Roman" w:cs="Times New Roman"/>
          <w:sz w:val="24"/>
          <w:szCs w:val="24"/>
          <w:lang w:val="es-NI"/>
        </w:rPr>
        <w:t xml:space="preserve">, oscila en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entre 40 y 70</w:t>
      </w:r>
      <w:r w:rsidR="008D18E0">
        <w:rPr>
          <w:rFonts w:ascii="Times New Roman" w:hAnsi="Times New Roman" w:cs="Times New Roman"/>
          <w:sz w:val="24"/>
          <w:szCs w:val="24"/>
          <w:lang w:val="es-NI"/>
        </w:rPr>
        <w:t>%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, </w:t>
      </w:r>
      <w:r w:rsidR="008C3D75">
        <w:rPr>
          <w:rFonts w:ascii="Times New Roman" w:hAnsi="Times New Roman" w:cs="Times New Roman"/>
          <w:sz w:val="24"/>
          <w:szCs w:val="24"/>
          <w:lang w:val="es-NI"/>
        </w:rPr>
        <w:t xml:space="preserve">exceptuando en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uno. </w:t>
      </w:r>
      <w:r w:rsidR="002465B0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Específicamente, en la región nororiental, el uso actual de anticonceptivos modernos es extremadamente bajo </w:t>
      </w:r>
      <w:r w:rsidR="00415A4A">
        <w:rPr>
          <w:rFonts w:ascii="Times New Roman" w:hAnsi="Times New Roman" w:cs="Times New Roman"/>
          <w:sz w:val="24"/>
          <w:szCs w:val="24"/>
          <w:lang w:val="es-NI"/>
        </w:rPr>
        <w:t xml:space="preserve">en donde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sólo </w:t>
      </w:r>
      <w:r w:rsidR="00415A4A">
        <w:rPr>
          <w:rFonts w:ascii="Times New Roman" w:hAnsi="Times New Roman" w:cs="Times New Roman"/>
          <w:sz w:val="24"/>
          <w:szCs w:val="24"/>
          <w:lang w:val="es-NI"/>
        </w:rPr>
        <w:t xml:space="preserve">el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3.4</w:t>
      </w:r>
      <w:r w:rsidR="00415A4A">
        <w:rPr>
          <w:rFonts w:ascii="Times New Roman" w:hAnsi="Times New Roman" w:cs="Times New Roman"/>
          <w:sz w:val="24"/>
          <w:szCs w:val="24"/>
          <w:lang w:val="es-NI"/>
        </w:rPr>
        <w:t>%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 de </w:t>
      </w:r>
      <w:r w:rsidR="0097670D">
        <w:rPr>
          <w:rFonts w:ascii="Times New Roman" w:hAnsi="Times New Roman" w:cs="Times New Roman"/>
          <w:sz w:val="24"/>
          <w:szCs w:val="24"/>
          <w:lang w:val="es-NI"/>
        </w:rPr>
        <w:t>la</w:t>
      </w:r>
      <w:r w:rsidR="00DF161A">
        <w:rPr>
          <w:rFonts w:ascii="Times New Roman" w:hAnsi="Times New Roman" w:cs="Times New Roman"/>
          <w:sz w:val="24"/>
          <w:szCs w:val="24"/>
          <w:lang w:val="es-NI"/>
        </w:rPr>
        <w:t>s mujeres</w:t>
      </w:r>
      <w:r w:rsidR="0097670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casadas </w:t>
      </w:r>
      <w:r w:rsidR="0097670D">
        <w:rPr>
          <w:rFonts w:ascii="Times New Roman" w:hAnsi="Times New Roman" w:cs="Times New Roman"/>
          <w:sz w:val="24"/>
          <w:szCs w:val="24"/>
          <w:lang w:val="es-NI"/>
        </w:rPr>
        <w:t xml:space="preserve">entre los 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5</w:t>
      </w:r>
      <w:r w:rsidR="00DF161A">
        <w:rPr>
          <w:rFonts w:ascii="Times New Roman" w:hAnsi="Times New Roman" w:cs="Times New Roman"/>
          <w:sz w:val="24"/>
          <w:szCs w:val="24"/>
          <w:lang w:val="es-NI"/>
        </w:rPr>
        <w:t>-</w:t>
      </w:r>
      <w:r w:rsidR="00635A8F" w:rsidRPr="00635A8F">
        <w:rPr>
          <w:rFonts w:ascii="Times New Roman" w:hAnsi="Times New Roman" w:cs="Times New Roman"/>
          <w:sz w:val="24"/>
          <w:szCs w:val="24"/>
          <w:lang w:val="es-NI"/>
        </w:rPr>
        <w:t>49</w:t>
      </w:r>
      <w:r w:rsidR="0097670D">
        <w:rPr>
          <w:rFonts w:ascii="Times New Roman" w:hAnsi="Times New Roman" w:cs="Times New Roman"/>
          <w:sz w:val="24"/>
          <w:szCs w:val="24"/>
          <w:lang w:val="es-NI"/>
        </w:rPr>
        <w:t xml:space="preserve"> años</w:t>
      </w:r>
      <w:r w:rsidR="00D46297" w:rsidRPr="00635A8F">
        <w:rPr>
          <w:rFonts w:ascii="Times New Roman" w:hAnsi="Times New Roman" w:cs="Times New Roman"/>
          <w:sz w:val="24"/>
          <w:szCs w:val="24"/>
          <w:lang w:val="es-NI"/>
        </w:rPr>
        <w:t xml:space="preserve">. </w:t>
      </w:r>
    </w:p>
    <w:p w14:paraId="5E34A166" w14:textId="0374DD16" w:rsidR="00D46297" w:rsidRPr="00635A8F" w:rsidRDefault="00635A8F" w:rsidP="00635A8F">
      <w:pPr>
        <w:jc w:val="center"/>
        <w:rPr>
          <w:rFonts w:ascii="Times New Roman" w:hAnsi="Times New Roman" w:cs="Times New Roman"/>
          <w:sz w:val="24"/>
          <w:szCs w:val="24"/>
          <w:lang w:val="es-NI"/>
        </w:rPr>
      </w:pPr>
      <w:r w:rsidRPr="00635A8F">
        <w:rPr>
          <w:rFonts w:ascii="Times New Roman" w:hAnsi="Times New Roman" w:cs="Times New Roman"/>
          <w:b/>
          <w:i/>
          <w:sz w:val="20"/>
          <w:szCs w:val="20"/>
          <w:lang w:val="es-NI"/>
        </w:rPr>
        <w:t>Gráfico 1</w:t>
      </w:r>
      <w:r w:rsidR="00D46297">
        <w:rPr>
          <w:noProof/>
        </w:rPr>
        <w:drawing>
          <wp:inline distT="0" distB="0" distL="0" distR="0" wp14:anchorId="00B82BF0" wp14:editId="32436024">
            <wp:extent cx="5838825" cy="2686050"/>
            <wp:effectExtent l="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ED4DF2" w:rsidRPr="00ED4DF2">
        <w:rPr>
          <w:rFonts w:ascii="Times New Roman" w:hAnsi="Times New Roman" w:cs="Times New Roman"/>
          <w:i/>
          <w:sz w:val="20"/>
          <w:szCs w:val="20"/>
          <w:lang w:val="es-NI"/>
        </w:rPr>
        <w:t>Fuente</w:t>
      </w:r>
      <w:r w:rsidR="008E789D" w:rsidRPr="00635A8F">
        <w:rPr>
          <w:rFonts w:ascii="Times New Roman" w:hAnsi="Times New Roman" w:cs="Times New Roman"/>
          <w:sz w:val="20"/>
          <w:szCs w:val="20"/>
          <w:lang w:val="es-NI"/>
        </w:rPr>
        <w:t xml:space="preserve">: </w:t>
      </w:r>
      <w:r w:rsidR="009267F4">
        <w:rPr>
          <w:rFonts w:ascii="Times New Roman" w:hAnsi="Times New Roman" w:cs="Times New Roman"/>
          <w:sz w:val="20"/>
          <w:szCs w:val="20"/>
          <w:lang w:val="es-NI"/>
        </w:rPr>
        <w:t xml:space="preserve">ENDESA </w:t>
      </w:r>
      <w:r w:rsidR="008E789D" w:rsidRPr="00635A8F">
        <w:rPr>
          <w:rFonts w:ascii="Times New Roman" w:hAnsi="Times New Roman" w:cs="Times New Roman"/>
          <w:sz w:val="20"/>
          <w:szCs w:val="20"/>
          <w:lang w:val="es-NI"/>
        </w:rPr>
        <w:t>Ken</w:t>
      </w:r>
      <w:r w:rsidR="003F5F64">
        <w:rPr>
          <w:rFonts w:ascii="Times New Roman" w:hAnsi="Times New Roman" w:cs="Times New Roman"/>
          <w:sz w:val="20"/>
          <w:szCs w:val="20"/>
          <w:lang w:val="es-NI"/>
        </w:rPr>
        <w:t>i</w:t>
      </w:r>
      <w:r w:rsidR="008E789D" w:rsidRPr="00635A8F">
        <w:rPr>
          <w:rFonts w:ascii="Times New Roman" w:hAnsi="Times New Roman" w:cs="Times New Roman"/>
          <w:sz w:val="20"/>
          <w:szCs w:val="20"/>
          <w:lang w:val="es-NI"/>
        </w:rPr>
        <w:t xml:space="preserve">a </w:t>
      </w:r>
      <w:r w:rsidR="0021077F" w:rsidRPr="00635A8F">
        <w:rPr>
          <w:rFonts w:ascii="Times New Roman" w:hAnsi="Times New Roman" w:cs="Times New Roman"/>
          <w:sz w:val="20"/>
          <w:szCs w:val="20"/>
          <w:lang w:val="es-NI"/>
        </w:rPr>
        <w:t>7.4.C</w:t>
      </w:r>
    </w:p>
    <w:p w14:paraId="06900004" w14:textId="77777777" w:rsidR="00646BE9" w:rsidRDefault="00646BE9" w:rsidP="00081098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s-NI"/>
        </w:rPr>
      </w:pPr>
    </w:p>
    <w:p w14:paraId="6485ED5F" w14:textId="3828CF9C" w:rsidR="00D46297" w:rsidRPr="00081098" w:rsidRDefault="00081098" w:rsidP="00081098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s-NI"/>
        </w:rPr>
      </w:pP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Una de las razones de </w:t>
      </w:r>
      <w:r w:rsidR="0070579F">
        <w:rPr>
          <w:rFonts w:ascii="Times New Roman" w:hAnsi="Times New Roman" w:cs="Times New Roman"/>
          <w:sz w:val="24"/>
          <w:szCs w:val="24"/>
          <w:lang w:val="es-NI"/>
        </w:rPr>
        <w:t>este a</w:t>
      </w:r>
      <w:r w:rsidR="00AC6ABB">
        <w:rPr>
          <w:rFonts w:ascii="Times New Roman" w:hAnsi="Times New Roman" w:cs="Times New Roman"/>
          <w:sz w:val="24"/>
          <w:szCs w:val="24"/>
          <w:lang w:val="es-NI"/>
        </w:rPr>
        <w:t>umento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, </w:t>
      </w:r>
      <w:r w:rsidR="004C573E">
        <w:rPr>
          <w:rFonts w:ascii="Times New Roman" w:hAnsi="Times New Roman" w:cs="Times New Roman"/>
          <w:sz w:val="24"/>
          <w:szCs w:val="24"/>
          <w:lang w:val="es-NI"/>
        </w:rPr>
        <w:t xml:space="preserve">es </w:t>
      </w:r>
      <w:r w:rsidR="004C4475">
        <w:rPr>
          <w:rFonts w:ascii="Times New Roman" w:hAnsi="Times New Roman" w:cs="Times New Roman"/>
          <w:sz w:val="24"/>
          <w:szCs w:val="24"/>
          <w:lang w:val="es-NI"/>
        </w:rPr>
        <w:t xml:space="preserve">la tendencia </w:t>
      </w:r>
      <w:r w:rsidR="00854B3D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nacional </w:t>
      </w:r>
      <w:r w:rsidR="00865FBB">
        <w:rPr>
          <w:rFonts w:ascii="Times New Roman" w:hAnsi="Times New Roman" w:cs="Times New Roman"/>
          <w:sz w:val="24"/>
          <w:szCs w:val="24"/>
          <w:lang w:val="es-NI"/>
        </w:rPr>
        <w:t xml:space="preserve">que </w:t>
      </w:r>
      <w:r w:rsidR="00AC6ABB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el gobierno </w:t>
      </w:r>
      <w:r w:rsidR="0050071B">
        <w:rPr>
          <w:rFonts w:ascii="Times New Roman" w:hAnsi="Times New Roman" w:cs="Times New Roman"/>
          <w:sz w:val="24"/>
          <w:szCs w:val="24"/>
          <w:lang w:val="es-NI"/>
        </w:rPr>
        <w:t xml:space="preserve">se </w:t>
      </w:r>
      <w:r w:rsidR="00407D00">
        <w:rPr>
          <w:rFonts w:ascii="Times New Roman" w:hAnsi="Times New Roman" w:cs="Times New Roman"/>
          <w:sz w:val="24"/>
          <w:szCs w:val="24"/>
          <w:lang w:val="es-NI"/>
        </w:rPr>
        <w:t>compromet</w:t>
      </w:r>
      <w:r w:rsidR="0050071B">
        <w:rPr>
          <w:rFonts w:ascii="Times New Roman" w:hAnsi="Times New Roman" w:cs="Times New Roman"/>
          <w:sz w:val="24"/>
          <w:szCs w:val="24"/>
          <w:lang w:val="es-NI"/>
        </w:rPr>
        <w:t>a</w:t>
      </w:r>
      <w:r w:rsidR="00407D00">
        <w:rPr>
          <w:rFonts w:ascii="Times New Roman" w:hAnsi="Times New Roman" w:cs="Times New Roman"/>
          <w:sz w:val="24"/>
          <w:szCs w:val="24"/>
          <w:lang w:val="es-NI"/>
        </w:rPr>
        <w:t xml:space="preserve"> con </w:t>
      </w:r>
      <w:r w:rsidR="008C5861">
        <w:rPr>
          <w:rFonts w:ascii="Times New Roman" w:hAnsi="Times New Roman" w:cs="Times New Roman"/>
          <w:sz w:val="24"/>
          <w:szCs w:val="24"/>
          <w:lang w:val="es-NI"/>
        </w:rPr>
        <w:t xml:space="preserve">la </w:t>
      </w:r>
      <w:r w:rsidR="008C5861" w:rsidRPr="00081098">
        <w:rPr>
          <w:rFonts w:ascii="Times New Roman" w:hAnsi="Times New Roman" w:cs="Times New Roman"/>
          <w:sz w:val="24"/>
          <w:szCs w:val="24"/>
          <w:lang w:val="es-NI"/>
        </w:rPr>
        <w:t>poblaci</w:t>
      </w:r>
      <w:r w:rsidR="008C5861">
        <w:rPr>
          <w:rFonts w:ascii="Times New Roman" w:hAnsi="Times New Roman" w:cs="Times New Roman"/>
          <w:sz w:val="24"/>
          <w:szCs w:val="24"/>
          <w:lang w:val="es-NI"/>
        </w:rPr>
        <w:t>ón</w:t>
      </w:r>
      <w:r w:rsidR="008C5861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y </w:t>
      </w:r>
      <w:r w:rsidR="008C5861">
        <w:rPr>
          <w:rFonts w:ascii="Times New Roman" w:hAnsi="Times New Roman" w:cs="Times New Roman"/>
          <w:sz w:val="24"/>
          <w:szCs w:val="24"/>
          <w:lang w:val="es-NI"/>
        </w:rPr>
        <w:t>programas de</w:t>
      </w:r>
      <w:r w:rsidR="008C5861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1622B5" w:rsidRPr="00081098">
        <w:rPr>
          <w:rFonts w:ascii="Times New Roman" w:hAnsi="Times New Roman" w:cs="Times New Roman"/>
          <w:sz w:val="24"/>
          <w:szCs w:val="24"/>
          <w:lang w:val="es-NI"/>
        </w:rPr>
        <w:t>desarrollo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. </w:t>
      </w:r>
      <w:r w:rsidR="008C5861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Los esfuerzos </w:t>
      </w:r>
      <w:r w:rsidR="00844207">
        <w:rPr>
          <w:rFonts w:ascii="Times New Roman" w:hAnsi="Times New Roman" w:cs="Times New Roman"/>
          <w:sz w:val="24"/>
          <w:szCs w:val="24"/>
          <w:lang w:val="es-NI"/>
        </w:rPr>
        <w:t xml:space="preserve">de incidencia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han </w:t>
      </w:r>
      <w:r w:rsidR="006D25EB">
        <w:rPr>
          <w:rFonts w:ascii="Times New Roman" w:hAnsi="Times New Roman" w:cs="Times New Roman"/>
          <w:sz w:val="24"/>
          <w:szCs w:val="24"/>
          <w:lang w:val="es-NI"/>
        </w:rPr>
        <w:t xml:space="preserve">creado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un entorno </w:t>
      </w:r>
      <w:r w:rsidR="006D25EB">
        <w:rPr>
          <w:rFonts w:ascii="Times New Roman" w:hAnsi="Times New Roman" w:cs="Times New Roman"/>
          <w:sz w:val="24"/>
          <w:szCs w:val="24"/>
          <w:lang w:val="es-NI"/>
        </w:rPr>
        <w:t xml:space="preserve">político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propicio para la P</w:t>
      </w:r>
      <w:r w:rsidR="002C4716">
        <w:rPr>
          <w:rFonts w:ascii="Times New Roman" w:hAnsi="Times New Roman" w:cs="Times New Roman"/>
          <w:sz w:val="24"/>
          <w:szCs w:val="24"/>
          <w:lang w:val="es-NI"/>
        </w:rPr>
        <w:t>F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y el gobierno trabaja en estrecha colaboración con las organizaciones no gubernamentales, el sector privado y otros soci</w:t>
      </w:r>
      <w:r w:rsidR="00995FB9">
        <w:rPr>
          <w:rFonts w:ascii="Times New Roman" w:hAnsi="Times New Roman" w:cs="Times New Roman"/>
          <w:sz w:val="24"/>
          <w:szCs w:val="24"/>
          <w:lang w:val="es-NI"/>
        </w:rPr>
        <w:t>os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para aumentar el acceso y uso de </w:t>
      </w:r>
      <w:r w:rsidR="00D567C7">
        <w:rPr>
          <w:rFonts w:ascii="Times New Roman" w:hAnsi="Times New Roman" w:cs="Times New Roman"/>
          <w:sz w:val="24"/>
          <w:szCs w:val="24"/>
          <w:lang w:val="es-NI"/>
        </w:rPr>
        <w:t xml:space="preserve">la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PF</w:t>
      </w:r>
      <w:r w:rsidR="002C4302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0F1361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D567C7">
        <w:rPr>
          <w:rFonts w:ascii="Times New Roman" w:hAnsi="Times New Roman" w:cs="Times New Roman"/>
          <w:sz w:val="24"/>
          <w:szCs w:val="24"/>
          <w:lang w:val="es-NI"/>
        </w:rPr>
        <w:t xml:space="preserve"> 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Esto ha llevado a la implementación de </w:t>
      </w:r>
      <w:r w:rsidR="00806A53">
        <w:rPr>
          <w:rFonts w:ascii="Times New Roman" w:hAnsi="Times New Roman" w:cs="Times New Roman"/>
          <w:sz w:val="24"/>
          <w:szCs w:val="24"/>
          <w:lang w:val="es-NI"/>
        </w:rPr>
        <w:t>la V</w:t>
      </w:r>
      <w:r w:rsidR="00806A53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isión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Kenia 2030, que apoya al Consejo Nacional de </w:t>
      </w:r>
      <w:r w:rsidR="004B389B">
        <w:rPr>
          <w:rFonts w:ascii="Times New Roman" w:hAnsi="Times New Roman" w:cs="Times New Roman"/>
          <w:sz w:val="24"/>
          <w:szCs w:val="24"/>
          <w:lang w:val="es-NI"/>
        </w:rPr>
        <w:t>P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oblación y </w:t>
      </w:r>
      <w:r w:rsidR="004B389B">
        <w:rPr>
          <w:rFonts w:ascii="Times New Roman" w:hAnsi="Times New Roman" w:cs="Times New Roman"/>
          <w:sz w:val="24"/>
          <w:szCs w:val="24"/>
          <w:lang w:val="es-NI"/>
        </w:rPr>
        <w:t>D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esarrollo para abordar </w:t>
      </w:r>
      <w:r w:rsidR="00065194">
        <w:rPr>
          <w:rFonts w:ascii="Times New Roman" w:hAnsi="Times New Roman" w:cs="Times New Roman"/>
          <w:sz w:val="24"/>
          <w:szCs w:val="24"/>
          <w:lang w:val="es-NI"/>
        </w:rPr>
        <w:t>temas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de población</w:t>
      </w:r>
      <w:r w:rsidR="002C4302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991035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065194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Mientras que </w:t>
      </w:r>
      <w:r w:rsidR="00065194">
        <w:rPr>
          <w:rFonts w:ascii="Times New Roman" w:hAnsi="Times New Roman" w:cs="Times New Roman"/>
          <w:sz w:val="24"/>
          <w:szCs w:val="24"/>
          <w:lang w:val="es-NI"/>
        </w:rPr>
        <w:t>la V</w:t>
      </w:r>
      <w:r w:rsidR="00065194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isión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Kenia 2030 incluye</w:t>
      </w:r>
      <w:r w:rsidR="000E6BF6">
        <w:rPr>
          <w:rFonts w:ascii="Times New Roman" w:hAnsi="Times New Roman" w:cs="Times New Roman"/>
          <w:sz w:val="24"/>
          <w:szCs w:val="24"/>
          <w:lang w:val="es-NI"/>
        </w:rPr>
        <w:t xml:space="preserve"> metas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explícit</w:t>
      </w:r>
      <w:r w:rsidR="000E6BF6">
        <w:rPr>
          <w:rFonts w:ascii="Times New Roman" w:hAnsi="Times New Roman" w:cs="Times New Roman"/>
          <w:sz w:val="24"/>
          <w:szCs w:val="24"/>
          <w:lang w:val="es-NI"/>
        </w:rPr>
        <w:t>a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s </w:t>
      </w:r>
      <w:r w:rsidR="0024531D">
        <w:rPr>
          <w:rFonts w:ascii="Times New Roman" w:hAnsi="Times New Roman" w:cs="Times New Roman"/>
          <w:sz w:val="24"/>
          <w:szCs w:val="24"/>
          <w:lang w:val="es-NI"/>
        </w:rPr>
        <w:t xml:space="preserve">en materia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de planificación familiar, el </w:t>
      </w:r>
      <w:r w:rsidR="000E6BF6">
        <w:rPr>
          <w:rFonts w:ascii="Times New Roman" w:hAnsi="Times New Roman" w:cs="Times New Roman"/>
          <w:sz w:val="24"/>
          <w:szCs w:val="24"/>
          <w:lang w:val="es-NI"/>
        </w:rPr>
        <w:t>G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obierno keniano ha declarado que planificación familiar puede </w:t>
      </w:r>
      <w:r w:rsidR="00B3694B">
        <w:rPr>
          <w:rFonts w:ascii="Times New Roman" w:hAnsi="Times New Roman" w:cs="Times New Roman"/>
          <w:sz w:val="24"/>
          <w:szCs w:val="24"/>
          <w:lang w:val="es-NI"/>
        </w:rPr>
        <w:t>manejar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el crecimiento </w:t>
      </w:r>
      <w:r w:rsidR="00E9367B">
        <w:rPr>
          <w:rFonts w:ascii="Times New Roman" w:hAnsi="Times New Roman" w:cs="Times New Roman"/>
          <w:sz w:val="24"/>
          <w:szCs w:val="24"/>
          <w:lang w:val="es-NI"/>
        </w:rPr>
        <w:t>poblacional</w:t>
      </w:r>
      <w:r w:rsidR="00B3694B">
        <w:rPr>
          <w:rFonts w:ascii="Times New Roman" w:hAnsi="Times New Roman" w:cs="Times New Roman"/>
          <w:sz w:val="24"/>
          <w:szCs w:val="24"/>
          <w:lang w:val="es-NI"/>
        </w:rPr>
        <w:t>,</w:t>
      </w:r>
      <w:r w:rsidR="00E9367B">
        <w:rPr>
          <w:rFonts w:ascii="Times New Roman" w:hAnsi="Times New Roman" w:cs="Times New Roman"/>
          <w:sz w:val="24"/>
          <w:szCs w:val="24"/>
          <w:lang w:val="es-NI"/>
        </w:rPr>
        <w:t xml:space="preserve"> lo cual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es fundamental para </w:t>
      </w:r>
      <w:r w:rsidR="00D44548">
        <w:rPr>
          <w:rFonts w:ascii="Times New Roman" w:hAnsi="Times New Roman" w:cs="Times New Roman"/>
          <w:sz w:val="24"/>
          <w:szCs w:val="24"/>
          <w:lang w:val="es-NI"/>
        </w:rPr>
        <w:t xml:space="preserve">la </w:t>
      </w:r>
      <w:r w:rsidR="00E9367B">
        <w:rPr>
          <w:rFonts w:ascii="Times New Roman" w:hAnsi="Times New Roman" w:cs="Times New Roman"/>
          <w:sz w:val="24"/>
          <w:szCs w:val="24"/>
          <w:lang w:val="es-NI"/>
        </w:rPr>
        <w:t>V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isión </w:t>
      </w:r>
      <w:r w:rsidR="00E9367B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Kenia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2030</w:t>
      </w:r>
      <w:r w:rsidR="002C4302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FB26D3"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E9367B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Además, Kenia ha aceptado acuerdos mundiales y regionales, incluyendo los protocolos de la CIPD, Maputo, Abuja y FP2020, los cuales </w:t>
      </w:r>
      <w:r w:rsidR="001F10E2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todos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afirman </w:t>
      </w:r>
      <w:r w:rsidR="007B5945">
        <w:rPr>
          <w:rFonts w:ascii="Times New Roman" w:hAnsi="Times New Roman" w:cs="Times New Roman"/>
          <w:sz w:val="24"/>
          <w:szCs w:val="24"/>
          <w:lang w:val="es-NI"/>
        </w:rPr>
        <w:t xml:space="preserve">de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la importancia de la planificación familiar para el desarrollo</w:t>
      </w:r>
      <w:r w:rsidR="002C4302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0F1361"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  <w:r w:rsidR="00673BC4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7B5945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E</w:t>
      </w:r>
      <w:r w:rsidR="008551DF">
        <w:rPr>
          <w:rFonts w:ascii="Times New Roman" w:hAnsi="Times New Roman" w:cs="Times New Roman"/>
          <w:sz w:val="24"/>
          <w:szCs w:val="24"/>
          <w:lang w:val="es-NI"/>
        </w:rPr>
        <w:t>n el 2010, e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l gobierno también aprob</w:t>
      </w:r>
      <w:r w:rsidR="007B5945">
        <w:rPr>
          <w:rFonts w:ascii="Times New Roman" w:hAnsi="Times New Roman" w:cs="Times New Roman"/>
          <w:sz w:val="24"/>
          <w:szCs w:val="24"/>
          <w:lang w:val="es-NI"/>
        </w:rPr>
        <w:t>ó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una enmienda </w:t>
      </w:r>
      <w:r w:rsidR="00463CD1">
        <w:rPr>
          <w:rFonts w:ascii="Times New Roman" w:hAnsi="Times New Roman" w:cs="Times New Roman"/>
          <w:sz w:val="24"/>
          <w:szCs w:val="24"/>
          <w:lang w:val="es-NI"/>
        </w:rPr>
        <w:t xml:space="preserve">a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la constitución revisada que garantiza los derechos </w:t>
      </w:r>
      <w:r w:rsidR="0009529D">
        <w:rPr>
          <w:rFonts w:ascii="Times New Roman" w:hAnsi="Times New Roman" w:cs="Times New Roman"/>
          <w:sz w:val="24"/>
          <w:szCs w:val="24"/>
          <w:lang w:val="es-NI"/>
        </w:rPr>
        <w:t>individuales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BB65D6">
        <w:rPr>
          <w:rFonts w:ascii="Times New Roman" w:hAnsi="Times New Roman" w:cs="Times New Roman"/>
          <w:sz w:val="24"/>
          <w:szCs w:val="24"/>
          <w:lang w:val="es-NI"/>
        </w:rPr>
        <w:t xml:space="preserve">con el </w:t>
      </w:r>
      <w:r w:rsidR="00320BEB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más alto </w:t>
      </w:r>
      <w:r w:rsidR="00B663B1">
        <w:rPr>
          <w:rFonts w:ascii="Times New Roman" w:hAnsi="Times New Roman" w:cs="Times New Roman"/>
          <w:sz w:val="24"/>
          <w:szCs w:val="24"/>
          <w:lang w:val="es-NI"/>
        </w:rPr>
        <w:t>estándar</w:t>
      </w:r>
      <w:r w:rsidR="005623B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320BEB">
        <w:rPr>
          <w:rFonts w:ascii="Times New Roman" w:hAnsi="Times New Roman" w:cs="Times New Roman"/>
          <w:sz w:val="24"/>
          <w:szCs w:val="24"/>
          <w:lang w:val="es-NI"/>
        </w:rPr>
        <w:t>de</w:t>
      </w:r>
      <w:r w:rsidR="00320BEB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salud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posible, </w:t>
      </w:r>
      <w:r w:rsidR="00E51B61">
        <w:rPr>
          <w:rFonts w:ascii="Times New Roman" w:hAnsi="Times New Roman" w:cs="Times New Roman"/>
          <w:sz w:val="24"/>
          <w:szCs w:val="24"/>
          <w:lang w:val="es-NI"/>
        </w:rPr>
        <w:t xml:space="preserve">que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incluye </w:t>
      </w:r>
      <w:r w:rsidR="009B77BD">
        <w:rPr>
          <w:rFonts w:ascii="Times New Roman" w:hAnsi="Times New Roman" w:cs="Times New Roman"/>
          <w:sz w:val="24"/>
          <w:szCs w:val="24"/>
          <w:lang w:val="es-NI"/>
        </w:rPr>
        <w:t xml:space="preserve">la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salud reproductiva. </w:t>
      </w:r>
      <w:r w:rsidR="00E51B61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En general, el </w:t>
      </w:r>
      <w:r w:rsidR="00E51B61">
        <w:rPr>
          <w:rFonts w:ascii="Times New Roman" w:hAnsi="Times New Roman" w:cs="Times New Roman"/>
          <w:sz w:val="24"/>
          <w:szCs w:val="24"/>
          <w:lang w:val="es-NI"/>
        </w:rPr>
        <w:t>G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obierno keniano ha habilitado y asistido en el desarrollo de</w:t>
      </w:r>
      <w:r w:rsidR="00AC0854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información, programas y servicios de PF.</w:t>
      </w:r>
    </w:p>
    <w:p w14:paraId="50268971" w14:textId="7711758E" w:rsidR="009515CD" w:rsidRPr="00081098" w:rsidRDefault="00081098" w:rsidP="00081098">
      <w:pPr>
        <w:jc w:val="both"/>
        <w:rPr>
          <w:rFonts w:ascii="Times New Roman" w:hAnsi="Times New Roman" w:cs="Times New Roman"/>
          <w:sz w:val="24"/>
          <w:szCs w:val="24"/>
          <w:lang w:val="es-NI"/>
        </w:rPr>
      </w:pPr>
      <w:r w:rsidRPr="00081098">
        <w:rPr>
          <w:rFonts w:ascii="Times New Roman" w:hAnsi="Times New Roman" w:cs="Times New Roman"/>
          <w:sz w:val="24"/>
          <w:szCs w:val="24"/>
          <w:lang w:val="es-NI"/>
        </w:rPr>
        <w:t>Planificación familiar equitativa significa que todos los miembros de la comunidad t</w:t>
      </w:r>
      <w:r w:rsidR="00014AFC">
        <w:rPr>
          <w:rFonts w:ascii="Times New Roman" w:hAnsi="Times New Roman" w:cs="Times New Roman"/>
          <w:sz w:val="24"/>
          <w:szCs w:val="24"/>
          <w:lang w:val="es-NI"/>
        </w:rPr>
        <w:t>engan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igualdad acceso a la misma información, servicios y métodos. </w:t>
      </w:r>
      <w:r w:rsidR="00014AFC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Esto significa que la P</w:t>
      </w:r>
      <w:r w:rsidR="00F900FE">
        <w:rPr>
          <w:rFonts w:ascii="Times New Roman" w:hAnsi="Times New Roman" w:cs="Times New Roman"/>
          <w:sz w:val="24"/>
          <w:szCs w:val="24"/>
          <w:lang w:val="es-NI"/>
        </w:rPr>
        <w:t>F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debe estar disponible </w:t>
      </w:r>
      <w:r w:rsidR="00EA5D86">
        <w:rPr>
          <w:rFonts w:ascii="Times New Roman" w:hAnsi="Times New Roman" w:cs="Times New Roman"/>
          <w:sz w:val="24"/>
          <w:szCs w:val="24"/>
          <w:lang w:val="es-NI"/>
        </w:rPr>
        <w:t>en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todas las regiones y </w:t>
      </w:r>
      <w:r w:rsidR="00EA5D86">
        <w:rPr>
          <w:rFonts w:ascii="Times New Roman" w:hAnsi="Times New Roman" w:cs="Times New Roman"/>
          <w:sz w:val="24"/>
          <w:szCs w:val="24"/>
          <w:lang w:val="es-NI"/>
        </w:rPr>
        <w:t xml:space="preserve">para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todos los niveles de ingresos. </w:t>
      </w:r>
      <w:r w:rsidR="003B02CE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Est</w:t>
      </w:r>
      <w:r w:rsidR="00DD7EE2">
        <w:rPr>
          <w:rFonts w:ascii="Times New Roman" w:hAnsi="Times New Roman" w:cs="Times New Roman"/>
          <w:sz w:val="24"/>
          <w:szCs w:val="24"/>
          <w:lang w:val="es-NI"/>
        </w:rPr>
        <w:t xml:space="preserve">o </w:t>
      </w:r>
      <w:r w:rsidR="007802E5">
        <w:rPr>
          <w:rFonts w:ascii="Times New Roman" w:hAnsi="Times New Roman" w:cs="Times New Roman"/>
          <w:sz w:val="24"/>
          <w:szCs w:val="24"/>
          <w:lang w:val="es-NI"/>
        </w:rPr>
        <w:t xml:space="preserve">está </w:t>
      </w:r>
      <w:r w:rsidR="00DD7EE2">
        <w:rPr>
          <w:rFonts w:ascii="Times New Roman" w:hAnsi="Times New Roman" w:cs="Times New Roman"/>
          <w:sz w:val="24"/>
          <w:szCs w:val="24"/>
          <w:lang w:val="es-NI"/>
        </w:rPr>
        <w:t>vincula</w:t>
      </w:r>
      <w:r w:rsidR="007802E5">
        <w:rPr>
          <w:rFonts w:ascii="Times New Roman" w:hAnsi="Times New Roman" w:cs="Times New Roman"/>
          <w:sz w:val="24"/>
          <w:szCs w:val="24"/>
          <w:lang w:val="es-NI"/>
        </w:rPr>
        <w:t xml:space="preserve">do con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l</w:t>
      </w:r>
      <w:r w:rsidR="00DD7EE2">
        <w:rPr>
          <w:rFonts w:ascii="Times New Roman" w:hAnsi="Times New Roman" w:cs="Times New Roman"/>
          <w:sz w:val="24"/>
          <w:szCs w:val="24"/>
          <w:lang w:val="es-NI"/>
        </w:rPr>
        <w:t xml:space="preserve">as Metas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de </w:t>
      </w:r>
      <w:r w:rsidR="00DD7EE2">
        <w:rPr>
          <w:rFonts w:ascii="Times New Roman" w:hAnsi="Times New Roman" w:cs="Times New Roman"/>
          <w:sz w:val="24"/>
          <w:szCs w:val="24"/>
          <w:lang w:val="es-NI"/>
        </w:rPr>
        <w:t>D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esarrollo </w:t>
      </w:r>
      <w:r w:rsidR="00DD7EE2">
        <w:rPr>
          <w:rFonts w:ascii="Times New Roman" w:hAnsi="Times New Roman" w:cs="Times New Roman"/>
          <w:sz w:val="24"/>
          <w:szCs w:val="24"/>
          <w:lang w:val="es-NI"/>
        </w:rPr>
        <w:t>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ostenible, específicamente </w:t>
      </w:r>
      <w:r w:rsidR="00B471A0">
        <w:rPr>
          <w:rFonts w:ascii="Times New Roman" w:hAnsi="Times New Roman" w:cs="Times New Roman"/>
          <w:sz w:val="24"/>
          <w:szCs w:val="24"/>
          <w:lang w:val="es-NI"/>
        </w:rPr>
        <w:t xml:space="preserve">a </w:t>
      </w:r>
      <w:r w:rsidR="008D0A5C">
        <w:rPr>
          <w:rFonts w:ascii="Times New Roman" w:hAnsi="Times New Roman" w:cs="Times New Roman"/>
          <w:sz w:val="24"/>
          <w:szCs w:val="24"/>
          <w:lang w:val="es-NI"/>
        </w:rPr>
        <w:t xml:space="preserve">las de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género y desigualdad</w:t>
      </w:r>
      <w:r w:rsidR="00F7330E">
        <w:rPr>
          <w:rFonts w:ascii="Times New Roman" w:hAnsi="Times New Roman" w:cs="Times New Roman"/>
          <w:sz w:val="24"/>
          <w:szCs w:val="24"/>
          <w:lang w:val="es-NI"/>
        </w:rPr>
        <w:t>es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(</w:t>
      </w:r>
      <w:r w:rsidR="00E16BAE">
        <w:rPr>
          <w:rFonts w:ascii="Times New Roman" w:hAnsi="Times New Roman" w:cs="Times New Roman"/>
          <w:sz w:val="24"/>
          <w:szCs w:val="24"/>
          <w:lang w:val="es-NI"/>
        </w:rPr>
        <w:t>Metas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5 y 10). Un</w:t>
      </w:r>
      <w:r w:rsidR="00B9757A">
        <w:rPr>
          <w:rFonts w:ascii="Times New Roman" w:hAnsi="Times New Roman" w:cs="Times New Roman"/>
          <w:sz w:val="24"/>
          <w:szCs w:val="24"/>
          <w:lang w:val="es-NI"/>
        </w:rPr>
        <w:t xml:space="preserve">o de los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objetivo</w:t>
      </w:r>
      <w:r w:rsidR="00B9757A">
        <w:rPr>
          <w:rFonts w:ascii="Times New Roman" w:hAnsi="Times New Roman" w:cs="Times New Roman"/>
          <w:sz w:val="24"/>
          <w:szCs w:val="24"/>
          <w:lang w:val="es-NI"/>
        </w:rPr>
        <w:t>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5858AA">
        <w:rPr>
          <w:rFonts w:ascii="Times New Roman" w:hAnsi="Times New Roman" w:cs="Times New Roman"/>
          <w:sz w:val="24"/>
          <w:szCs w:val="24"/>
          <w:lang w:val="es-NI"/>
        </w:rPr>
        <w:t>de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la </w:t>
      </w:r>
      <w:r w:rsidR="00E16BAE">
        <w:rPr>
          <w:rFonts w:ascii="Times New Roman" w:hAnsi="Times New Roman" w:cs="Times New Roman"/>
          <w:sz w:val="24"/>
          <w:szCs w:val="24"/>
          <w:lang w:val="es-NI"/>
        </w:rPr>
        <w:t>M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eta </w:t>
      </w:r>
      <w:r w:rsidR="00E16BAE">
        <w:rPr>
          <w:rFonts w:ascii="Times New Roman" w:hAnsi="Times New Roman" w:cs="Times New Roman"/>
          <w:sz w:val="24"/>
          <w:szCs w:val="24"/>
          <w:lang w:val="es-NI"/>
        </w:rPr>
        <w:t>5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, "</w:t>
      </w:r>
      <w:r w:rsidR="00A42825">
        <w:rPr>
          <w:rFonts w:ascii="Times New Roman" w:hAnsi="Times New Roman" w:cs="Times New Roman"/>
          <w:sz w:val="24"/>
          <w:szCs w:val="24"/>
          <w:lang w:val="es-NI"/>
        </w:rPr>
        <w:t>Ig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ualdad de </w:t>
      </w:r>
      <w:r w:rsidR="00A42825">
        <w:rPr>
          <w:rFonts w:ascii="Times New Roman" w:hAnsi="Times New Roman" w:cs="Times New Roman"/>
          <w:sz w:val="24"/>
          <w:szCs w:val="24"/>
          <w:lang w:val="es-NI"/>
        </w:rPr>
        <w:t>G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énero y </w:t>
      </w:r>
      <w:r w:rsidR="00A42825">
        <w:rPr>
          <w:rFonts w:ascii="Times New Roman" w:hAnsi="Times New Roman" w:cs="Times New Roman"/>
          <w:sz w:val="24"/>
          <w:szCs w:val="24"/>
          <w:lang w:val="es-NI"/>
        </w:rPr>
        <w:t>E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mpoderamiento de las </w:t>
      </w:r>
      <w:r w:rsidR="00A42825">
        <w:rPr>
          <w:rFonts w:ascii="Times New Roman" w:hAnsi="Times New Roman" w:cs="Times New Roman"/>
          <w:sz w:val="24"/>
          <w:szCs w:val="24"/>
          <w:lang w:val="es-NI"/>
        </w:rPr>
        <w:t>M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ujeres," es garantizar </w:t>
      </w:r>
      <w:r w:rsidR="001C7E0B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el acceso universal </w:t>
      </w:r>
      <w:r w:rsidR="001C7E0B">
        <w:rPr>
          <w:rFonts w:ascii="Times New Roman" w:hAnsi="Times New Roman" w:cs="Times New Roman"/>
          <w:sz w:val="24"/>
          <w:szCs w:val="24"/>
          <w:lang w:val="es-NI"/>
        </w:rPr>
        <w:t xml:space="preserve">a </w:t>
      </w:r>
      <w:r w:rsidR="00843877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la salud </w:t>
      </w:r>
      <w:r w:rsidR="00843877">
        <w:rPr>
          <w:rFonts w:ascii="Times New Roman" w:hAnsi="Times New Roman" w:cs="Times New Roman"/>
          <w:sz w:val="24"/>
          <w:szCs w:val="24"/>
          <w:lang w:val="es-NI"/>
        </w:rPr>
        <w:t>y</w:t>
      </w:r>
      <w:r w:rsidR="00280B82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derechos </w:t>
      </w:r>
      <w:r w:rsidR="00843877">
        <w:rPr>
          <w:rFonts w:ascii="Times New Roman" w:hAnsi="Times New Roman" w:cs="Times New Roman"/>
          <w:sz w:val="24"/>
          <w:szCs w:val="24"/>
          <w:lang w:val="es-NI"/>
        </w:rPr>
        <w:t>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exual</w:t>
      </w:r>
      <w:r w:rsidR="00843877">
        <w:rPr>
          <w:rFonts w:ascii="Times New Roman" w:hAnsi="Times New Roman" w:cs="Times New Roman"/>
          <w:sz w:val="24"/>
          <w:szCs w:val="24"/>
          <w:lang w:val="es-NI"/>
        </w:rPr>
        <w:t>es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y reproductiv</w:t>
      </w:r>
      <w:r w:rsidR="00843877">
        <w:rPr>
          <w:rFonts w:ascii="Times New Roman" w:hAnsi="Times New Roman" w:cs="Times New Roman"/>
          <w:sz w:val="24"/>
          <w:szCs w:val="24"/>
          <w:lang w:val="es-NI"/>
        </w:rPr>
        <w:t>os</w:t>
      </w:r>
      <w:r w:rsidR="002C4302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033B01">
        <w:rPr>
          <w:rStyle w:val="FootnoteReference"/>
          <w:rFonts w:ascii="Times New Roman" w:hAnsi="Times New Roman" w:cs="Times New Roman"/>
          <w:sz w:val="24"/>
          <w:szCs w:val="24"/>
        </w:rPr>
        <w:footnoteReference w:id="8"/>
      </w:r>
      <w:r w:rsidR="00280B82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033B01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Un</w:t>
      </w:r>
      <w:r w:rsidR="00F7330E">
        <w:rPr>
          <w:rFonts w:ascii="Times New Roman" w:hAnsi="Times New Roman" w:cs="Times New Roman"/>
          <w:sz w:val="24"/>
          <w:szCs w:val="24"/>
          <w:lang w:val="es-NI"/>
        </w:rPr>
        <w:t>o de los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objetivo</w:t>
      </w:r>
      <w:r w:rsidR="00F7330E">
        <w:rPr>
          <w:rFonts w:ascii="Times New Roman" w:hAnsi="Times New Roman" w:cs="Times New Roman"/>
          <w:sz w:val="24"/>
          <w:szCs w:val="24"/>
          <w:lang w:val="es-NI"/>
        </w:rPr>
        <w:t>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F7330E">
        <w:rPr>
          <w:rFonts w:ascii="Times New Roman" w:hAnsi="Times New Roman" w:cs="Times New Roman"/>
          <w:sz w:val="24"/>
          <w:szCs w:val="24"/>
          <w:lang w:val="es-NI"/>
        </w:rPr>
        <w:t xml:space="preserve">de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la </w:t>
      </w:r>
      <w:r w:rsidR="003E4140">
        <w:rPr>
          <w:rFonts w:ascii="Times New Roman" w:hAnsi="Times New Roman" w:cs="Times New Roman"/>
          <w:sz w:val="24"/>
          <w:szCs w:val="24"/>
          <w:lang w:val="es-NI"/>
        </w:rPr>
        <w:t>Me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ta 10, "Desigualdad</w:t>
      </w:r>
      <w:r w:rsidR="003E4140">
        <w:rPr>
          <w:rFonts w:ascii="Times New Roman" w:hAnsi="Times New Roman" w:cs="Times New Roman"/>
          <w:sz w:val="24"/>
          <w:szCs w:val="24"/>
          <w:lang w:val="es-NI"/>
        </w:rPr>
        <w:t>es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" es </w:t>
      </w:r>
      <w:r w:rsidR="000258E3" w:rsidRPr="002174E2">
        <w:rPr>
          <w:rFonts w:ascii="Times New Roman" w:hAnsi="Times New Roman" w:cs="Times New Roman"/>
          <w:sz w:val="24"/>
          <w:szCs w:val="24"/>
          <w:lang w:val="es-NI"/>
        </w:rPr>
        <w:t>empoderar</w:t>
      </w:r>
      <w:r w:rsidRPr="002174E2">
        <w:rPr>
          <w:rFonts w:ascii="Times New Roman" w:hAnsi="Times New Roman" w:cs="Times New Roman"/>
          <w:sz w:val="24"/>
          <w:szCs w:val="24"/>
          <w:lang w:val="es-NI"/>
        </w:rPr>
        <w:t xml:space="preserve"> y promover la inclusión de todos, independientemente de su sexo, raza, etnia, origen o condición económica.</w:t>
      </w:r>
      <w:r w:rsidR="00B2609A" w:rsidRPr="002174E2">
        <w:rPr>
          <w:rStyle w:val="FootnoteReference"/>
          <w:rFonts w:ascii="Times New Roman" w:hAnsi="Times New Roman" w:cs="Times New Roman"/>
          <w:sz w:val="24"/>
          <w:szCs w:val="24"/>
        </w:rPr>
        <w:footnoteReference w:id="9"/>
      </w:r>
      <w:r w:rsidR="00B2609A" w:rsidRPr="002174E2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2174E2">
        <w:rPr>
          <w:rFonts w:ascii="Times New Roman" w:hAnsi="Times New Roman" w:cs="Times New Roman"/>
          <w:sz w:val="24"/>
          <w:szCs w:val="24"/>
          <w:lang w:val="es-NI"/>
        </w:rPr>
        <w:t xml:space="preserve">Kenia desarrolló el programa </w:t>
      </w:r>
      <w:r w:rsidR="00397B55" w:rsidRPr="002174E2">
        <w:rPr>
          <w:rFonts w:ascii="Times New Roman" w:hAnsi="Times New Roman" w:cs="Times New Roman"/>
          <w:sz w:val="24"/>
          <w:szCs w:val="24"/>
          <w:lang w:val="es-NI"/>
        </w:rPr>
        <w:t xml:space="preserve">antes mencionado </w:t>
      </w:r>
      <w:r w:rsidR="004F6A0E" w:rsidRPr="002174E2">
        <w:rPr>
          <w:rFonts w:ascii="Times New Roman" w:hAnsi="Times New Roman" w:cs="Times New Roman"/>
          <w:sz w:val="24"/>
          <w:szCs w:val="24"/>
          <w:lang w:val="es-NI"/>
        </w:rPr>
        <w:t xml:space="preserve">Visión Kenia 2030 </w:t>
      </w:r>
      <w:r w:rsidRPr="002174E2">
        <w:rPr>
          <w:rFonts w:ascii="Times New Roman" w:hAnsi="Times New Roman" w:cs="Times New Roman"/>
          <w:sz w:val="24"/>
          <w:szCs w:val="24"/>
          <w:lang w:val="es-NI"/>
        </w:rPr>
        <w:t xml:space="preserve">como </w:t>
      </w:r>
      <w:r w:rsidR="008F42EA" w:rsidRPr="002174E2">
        <w:rPr>
          <w:rFonts w:ascii="Times New Roman" w:hAnsi="Times New Roman" w:cs="Times New Roman"/>
          <w:sz w:val="24"/>
          <w:szCs w:val="24"/>
          <w:lang w:val="es-NI"/>
        </w:rPr>
        <w:t xml:space="preserve">una </w:t>
      </w:r>
      <w:r w:rsidR="00EE4029" w:rsidRPr="002174E2">
        <w:rPr>
          <w:rFonts w:ascii="Times New Roman" w:hAnsi="Times New Roman" w:cs="Times New Roman"/>
          <w:sz w:val="24"/>
          <w:szCs w:val="24"/>
          <w:lang w:val="es-NI"/>
        </w:rPr>
        <w:t xml:space="preserve">guía </w:t>
      </w:r>
      <w:r w:rsidR="00396D8D" w:rsidRPr="002174E2">
        <w:rPr>
          <w:rFonts w:ascii="Times New Roman" w:hAnsi="Times New Roman" w:cs="Times New Roman"/>
          <w:sz w:val="24"/>
          <w:szCs w:val="24"/>
          <w:lang w:val="es-NI"/>
        </w:rPr>
        <w:t>de desarrollo n</w:t>
      </w:r>
      <w:r w:rsidRPr="002174E2">
        <w:rPr>
          <w:rFonts w:ascii="Times New Roman" w:hAnsi="Times New Roman" w:cs="Times New Roman"/>
          <w:sz w:val="24"/>
          <w:szCs w:val="24"/>
          <w:lang w:val="es-NI"/>
        </w:rPr>
        <w:t xml:space="preserve">acional </w:t>
      </w:r>
      <w:r w:rsidR="009A3151" w:rsidRPr="002174E2">
        <w:rPr>
          <w:rFonts w:ascii="Times New Roman" w:hAnsi="Times New Roman" w:cs="Times New Roman"/>
          <w:sz w:val="24"/>
          <w:szCs w:val="24"/>
          <w:lang w:val="es-NI"/>
        </w:rPr>
        <w:t>para</w:t>
      </w:r>
      <w:r w:rsidRPr="002174E2">
        <w:rPr>
          <w:rFonts w:ascii="Times New Roman" w:hAnsi="Times New Roman" w:cs="Times New Roman"/>
          <w:sz w:val="24"/>
          <w:szCs w:val="24"/>
          <w:lang w:val="es-NI"/>
        </w:rPr>
        <w:t xml:space="preserve"> seguir estas metas de desarrollo.</w:t>
      </w:r>
    </w:p>
    <w:p w14:paraId="4B09AA94" w14:textId="75A0BDD5" w:rsidR="009515CD" w:rsidRPr="00081098" w:rsidRDefault="009515CD" w:rsidP="00C90E3C">
      <w:pPr>
        <w:rPr>
          <w:rFonts w:ascii="Times New Roman" w:hAnsi="Times New Roman" w:cs="Times New Roman"/>
          <w:b/>
          <w:sz w:val="24"/>
          <w:szCs w:val="24"/>
          <w:lang w:val="es-NI"/>
        </w:rPr>
      </w:pPr>
      <w:r w:rsidRPr="00081098">
        <w:rPr>
          <w:rFonts w:ascii="Times New Roman" w:hAnsi="Times New Roman" w:cs="Times New Roman"/>
          <w:b/>
          <w:sz w:val="24"/>
          <w:szCs w:val="24"/>
          <w:lang w:val="es-NI"/>
        </w:rPr>
        <w:t xml:space="preserve">II. </w:t>
      </w:r>
      <w:r w:rsidR="00081098" w:rsidRPr="00081098">
        <w:rPr>
          <w:rFonts w:ascii="Times New Roman" w:hAnsi="Times New Roman" w:cs="Times New Roman"/>
          <w:b/>
          <w:sz w:val="24"/>
          <w:szCs w:val="24"/>
          <w:lang w:val="es-NI"/>
        </w:rPr>
        <w:t xml:space="preserve">Impacto de la </w:t>
      </w:r>
      <w:r w:rsidR="00485DE1">
        <w:rPr>
          <w:rFonts w:ascii="Times New Roman" w:hAnsi="Times New Roman" w:cs="Times New Roman"/>
          <w:b/>
          <w:sz w:val="24"/>
          <w:szCs w:val="24"/>
          <w:lang w:val="es-NI"/>
        </w:rPr>
        <w:t>P</w:t>
      </w:r>
      <w:r w:rsidR="00081098" w:rsidRPr="00081098">
        <w:rPr>
          <w:rFonts w:ascii="Times New Roman" w:hAnsi="Times New Roman" w:cs="Times New Roman"/>
          <w:b/>
          <w:sz w:val="24"/>
          <w:szCs w:val="24"/>
          <w:lang w:val="es-NI"/>
        </w:rPr>
        <w:t xml:space="preserve">lanificación </w:t>
      </w:r>
      <w:r w:rsidR="00485DE1">
        <w:rPr>
          <w:rFonts w:ascii="Times New Roman" w:hAnsi="Times New Roman" w:cs="Times New Roman"/>
          <w:b/>
          <w:sz w:val="24"/>
          <w:szCs w:val="24"/>
          <w:lang w:val="es-NI"/>
        </w:rPr>
        <w:t>F</w:t>
      </w:r>
      <w:r w:rsidR="00081098" w:rsidRPr="00081098">
        <w:rPr>
          <w:rFonts w:ascii="Times New Roman" w:hAnsi="Times New Roman" w:cs="Times New Roman"/>
          <w:b/>
          <w:sz w:val="24"/>
          <w:szCs w:val="24"/>
          <w:lang w:val="es-NI"/>
        </w:rPr>
        <w:t xml:space="preserve">amiliar en la </w:t>
      </w:r>
      <w:r w:rsidR="00485DE1">
        <w:rPr>
          <w:rFonts w:ascii="Times New Roman" w:hAnsi="Times New Roman" w:cs="Times New Roman"/>
          <w:b/>
          <w:sz w:val="24"/>
          <w:szCs w:val="24"/>
          <w:lang w:val="es-NI"/>
        </w:rPr>
        <w:t>R</w:t>
      </w:r>
      <w:r w:rsidR="00081098" w:rsidRPr="00081098">
        <w:rPr>
          <w:rFonts w:ascii="Times New Roman" w:hAnsi="Times New Roman" w:cs="Times New Roman"/>
          <w:b/>
          <w:sz w:val="24"/>
          <w:szCs w:val="24"/>
          <w:lang w:val="es-NI"/>
        </w:rPr>
        <w:t xml:space="preserve">egión </w:t>
      </w:r>
      <w:r w:rsidR="00485DE1">
        <w:rPr>
          <w:rFonts w:ascii="Times New Roman" w:hAnsi="Times New Roman" w:cs="Times New Roman"/>
          <w:b/>
          <w:sz w:val="24"/>
          <w:szCs w:val="24"/>
          <w:lang w:val="es-NI"/>
        </w:rPr>
        <w:t>N</w:t>
      </w:r>
      <w:r w:rsidR="00081098" w:rsidRPr="00081098">
        <w:rPr>
          <w:rFonts w:ascii="Times New Roman" w:hAnsi="Times New Roman" w:cs="Times New Roman"/>
          <w:b/>
          <w:sz w:val="24"/>
          <w:szCs w:val="24"/>
          <w:lang w:val="es-NI"/>
        </w:rPr>
        <w:t>or</w:t>
      </w:r>
      <w:r w:rsidR="00DB5B0E">
        <w:rPr>
          <w:rFonts w:ascii="Times New Roman" w:hAnsi="Times New Roman" w:cs="Times New Roman"/>
          <w:b/>
          <w:sz w:val="24"/>
          <w:szCs w:val="24"/>
          <w:lang w:val="es-NI"/>
        </w:rPr>
        <w:t>oriental</w:t>
      </w:r>
    </w:p>
    <w:p w14:paraId="1BFCC887" w14:textId="34B05953" w:rsidR="00575AEC" w:rsidRPr="00081098" w:rsidRDefault="00081098" w:rsidP="00081098">
      <w:pPr>
        <w:jc w:val="both"/>
        <w:rPr>
          <w:rFonts w:ascii="Times New Roman" w:hAnsi="Times New Roman" w:cs="Times New Roman"/>
          <w:sz w:val="24"/>
          <w:szCs w:val="24"/>
          <w:lang w:val="es-NI"/>
        </w:rPr>
      </w:pPr>
      <w:r w:rsidRPr="00081098">
        <w:rPr>
          <w:rFonts w:ascii="Times New Roman" w:hAnsi="Times New Roman" w:cs="Times New Roman"/>
          <w:sz w:val="24"/>
          <w:szCs w:val="24"/>
          <w:lang w:val="es-NI"/>
        </w:rPr>
        <w:t>La región árida</w:t>
      </w:r>
      <w:r w:rsidR="00332FCB">
        <w:rPr>
          <w:rFonts w:ascii="Times New Roman" w:hAnsi="Times New Roman" w:cs="Times New Roman"/>
          <w:sz w:val="24"/>
          <w:szCs w:val="24"/>
          <w:lang w:val="es-NI"/>
        </w:rPr>
        <w:t xml:space="preserve"> al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noreste de Kenia </w:t>
      </w:r>
      <w:r w:rsidR="00007B35">
        <w:rPr>
          <w:rFonts w:ascii="Times New Roman" w:hAnsi="Times New Roman" w:cs="Times New Roman"/>
          <w:sz w:val="24"/>
          <w:szCs w:val="24"/>
          <w:lang w:val="es-NI"/>
        </w:rPr>
        <w:t xml:space="preserve">tiene </w:t>
      </w:r>
      <w:r w:rsidR="00451562">
        <w:rPr>
          <w:rFonts w:ascii="Times New Roman" w:hAnsi="Times New Roman" w:cs="Times New Roman"/>
          <w:sz w:val="24"/>
          <w:szCs w:val="24"/>
          <w:lang w:val="es-NI"/>
        </w:rPr>
        <w:t>un poco más de</w:t>
      </w:r>
      <w:r w:rsidR="00007B35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2 millones </w:t>
      </w:r>
      <w:r w:rsidR="00BD57F4">
        <w:rPr>
          <w:rFonts w:ascii="Times New Roman" w:hAnsi="Times New Roman" w:cs="Times New Roman"/>
          <w:sz w:val="24"/>
          <w:szCs w:val="24"/>
          <w:lang w:val="es-NI"/>
        </w:rPr>
        <w:t xml:space="preserve">de habitantes en 3 </w:t>
      </w:r>
      <w:r w:rsidR="00332FCB">
        <w:rPr>
          <w:rFonts w:ascii="Times New Roman" w:hAnsi="Times New Roman" w:cs="Times New Roman"/>
          <w:sz w:val="24"/>
          <w:szCs w:val="24"/>
          <w:lang w:val="es-NI"/>
        </w:rPr>
        <w:t>ciudades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: Garissa, Wajir y Mandera. </w:t>
      </w:r>
      <w:r w:rsidR="000A41C9">
        <w:rPr>
          <w:rFonts w:ascii="Times New Roman" w:hAnsi="Times New Roman" w:cs="Times New Roman"/>
          <w:sz w:val="24"/>
          <w:szCs w:val="24"/>
          <w:lang w:val="es-NI"/>
        </w:rPr>
        <w:t xml:space="preserve">  La m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ayoría </w:t>
      </w:r>
      <w:r w:rsidR="000A41C9" w:rsidRPr="00AD5DAE">
        <w:rPr>
          <w:rFonts w:ascii="Times New Roman" w:hAnsi="Times New Roman" w:cs="Times New Roman"/>
          <w:sz w:val="24"/>
          <w:szCs w:val="24"/>
          <w:lang w:val="es-NI"/>
        </w:rPr>
        <w:t xml:space="preserve">son </w:t>
      </w:r>
      <w:r w:rsidRPr="00AD5DAE">
        <w:rPr>
          <w:rFonts w:ascii="Times New Roman" w:hAnsi="Times New Roman" w:cs="Times New Roman"/>
          <w:sz w:val="24"/>
          <w:szCs w:val="24"/>
          <w:lang w:val="es-NI"/>
        </w:rPr>
        <w:t>de origen somalí</w:t>
      </w:r>
      <w:r w:rsidR="002C4302" w:rsidRPr="00AD5DAE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2E5905" w:rsidRPr="00AD5DAE">
        <w:rPr>
          <w:rStyle w:val="FootnoteReference"/>
          <w:rFonts w:ascii="Times New Roman" w:hAnsi="Times New Roman" w:cs="Times New Roman"/>
          <w:sz w:val="24"/>
          <w:szCs w:val="24"/>
        </w:rPr>
        <w:footnoteReference w:id="10"/>
      </w:r>
      <w:r w:rsidR="00AD5DAE">
        <w:rPr>
          <w:rFonts w:ascii="Times New Roman" w:hAnsi="Times New Roman" w:cs="Times New Roman"/>
          <w:sz w:val="24"/>
          <w:szCs w:val="24"/>
          <w:lang w:val="es-NI"/>
        </w:rPr>
        <w:t xml:space="preserve">  </w:t>
      </w:r>
      <w:r w:rsidR="00AD5DAE" w:rsidRPr="00AD5DAE">
        <w:rPr>
          <w:rFonts w:ascii="Times New Roman" w:hAnsi="Times New Roman" w:cs="Times New Roman"/>
          <w:sz w:val="24"/>
          <w:szCs w:val="24"/>
          <w:lang w:val="es"/>
        </w:rPr>
        <w:t xml:space="preserve">Muchos residentes de esta región </w:t>
      </w:r>
      <w:r w:rsidR="00AD5DAE" w:rsidRPr="00AD5DAE">
        <w:rPr>
          <w:rFonts w:ascii="Times New Roman" w:hAnsi="Times New Roman" w:cs="Times New Roman"/>
          <w:sz w:val="24"/>
          <w:szCs w:val="24"/>
          <w:lang w:val="es"/>
        </w:rPr>
        <w:lastRenderedPageBreak/>
        <w:t xml:space="preserve">son musulmanes y </w:t>
      </w:r>
      <w:r w:rsidR="00140368">
        <w:rPr>
          <w:rFonts w:ascii="Times New Roman" w:hAnsi="Times New Roman" w:cs="Times New Roman"/>
          <w:sz w:val="24"/>
          <w:szCs w:val="24"/>
          <w:lang w:val="es"/>
        </w:rPr>
        <w:t>se dedican al pastoreo</w:t>
      </w:r>
      <w:r w:rsidR="00AD5DAE" w:rsidRPr="00AD5DAE">
        <w:rPr>
          <w:rFonts w:ascii="Times New Roman" w:hAnsi="Times New Roman" w:cs="Times New Roman"/>
          <w:sz w:val="24"/>
          <w:szCs w:val="24"/>
          <w:lang w:val="es"/>
        </w:rPr>
        <w:t xml:space="preserve">. </w:t>
      </w:r>
      <w:r w:rsidR="00140368">
        <w:rPr>
          <w:rFonts w:ascii="Times New Roman" w:hAnsi="Times New Roman" w:cs="Times New Roman"/>
          <w:sz w:val="24"/>
          <w:szCs w:val="24"/>
          <w:lang w:val="es"/>
        </w:rPr>
        <w:t xml:space="preserve"> </w:t>
      </w:r>
      <w:r w:rsidRPr="00AD5DAE">
        <w:rPr>
          <w:rFonts w:ascii="Times New Roman" w:hAnsi="Times New Roman" w:cs="Times New Roman"/>
          <w:sz w:val="24"/>
          <w:szCs w:val="24"/>
          <w:lang w:val="es-NI"/>
        </w:rPr>
        <w:t xml:space="preserve">En su conjunto, la población </w:t>
      </w:r>
      <w:r w:rsidR="00496AFB">
        <w:rPr>
          <w:rFonts w:ascii="Times New Roman" w:hAnsi="Times New Roman" w:cs="Times New Roman"/>
          <w:sz w:val="24"/>
          <w:szCs w:val="24"/>
          <w:lang w:val="es-NI"/>
        </w:rPr>
        <w:t xml:space="preserve">al </w:t>
      </w:r>
      <w:r w:rsidRPr="00AD5DAE">
        <w:rPr>
          <w:rFonts w:ascii="Times New Roman" w:hAnsi="Times New Roman" w:cs="Times New Roman"/>
          <w:sz w:val="24"/>
          <w:szCs w:val="24"/>
          <w:lang w:val="es-NI"/>
        </w:rPr>
        <w:t>noreste dese</w:t>
      </w:r>
      <w:r w:rsidR="00496AFB">
        <w:rPr>
          <w:rFonts w:ascii="Times New Roman" w:hAnsi="Times New Roman" w:cs="Times New Roman"/>
          <w:sz w:val="24"/>
          <w:szCs w:val="24"/>
          <w:lang w:val="es-NI"/>
        </w:rPr>
        <w:t>a</w:t>
      </w:r>
      <w:r w:rsidRPr="00AD5DAE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9F32D9">
        <w:rPr>
          <w:rFonts w:ascii="Times New Roman" w:hAnsi="Times New Roman" w:cs="Times New Roman"/>
          <w:sz w:val="24"/>
          <w:szCs w:val="24"/>
          <w:lang w:val="es-NI"/>
        </w:rPr>
        <w:t>tener</w:t>
      </w:r>
      <w:r w:rsidRPr="00AD5DAE">
        <w:rPr>
          <w:rFonts w:ascii="Times New Roman" w:hAnsi="Times New Roman" w:cs="Times New Roman"/>
          <w:sz w:val="24"/>
          <w:szCs w:val="24"/>
          <w:lang w:val="es-NI"/>
        </w:rPr>
        <w:t xml:space="preserve"> familia más grande en comparación con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el resto del país. </w:t>
      </w:r>
      <w:r w:rsidR="009F32D9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En el noreste, el número ideal </w:t>
      </w:r>
      <w:r w:rsidR="00CD1DE3">
        <w:rPr>
          <w:rFonts w:ascii="Times New Roman" w:hAnsi="Times New Roman" w:cs="Times New Roman"/>
          <w:sz w:val="24"/>
          <w:szCs w:val="24"/>
          <w:lang w:val="es-NI"/>
        </w:rPr>
        <w:t xml:space="preserve">de hijos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es </w:t>
      </w:r>
      <w:r w:rsidR="00B9130C">
        <w:rPr>
          <w:rFonts w:ascii="Times New Roman" w:hAnsi="Times New Roman" w:cs="Times New Roman"/>
          <w:sz w:val="24"/>
          <w:szCs w:val="24"/>
          <w:lang w:val="es-NI"/>
        </w:rPr>
        <w:t xml:space="preserve">de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9.3</w:t>
      </w:r>
      <w:r w:rsidR="00EB2E3A" w:rsidRPr="00EB2E3A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EB2E3A" w:rsidRPr="00081098">
        <w:rPr>
          <w:rFonts w:ascii="Times New Roman" w:hAnsi="Times New Roman" w:cs="Times New Roman"/>
          <w:sz w:val="24"/>
          <w:szCs w:val="24"/>
          <w:lang w:val="es-NI"/>
        </w:rPr>
        <w:t>hijos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, en comparación con </w:t>
      </w:r>
      <w:r w:rsidR="00124B20">
        <w:rPr>
          <w:rFonts w:ascii="Times New Roman" w:hAnsi="Times New Roman" w:cs="Times New Roman"/>
          <w:sz w:val="24"/>
          <w:szCs w:val="24"/>
          <w:lang w:val="es-NI"/>
        </w:rPr>
        <w:t xml:space="preserve">el </w:t>
      </w:r>
      <w:r w:rsidR="00A3407E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total </w:t>
      </w:r>
      <w:r w:rsidR="003757C5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ideal </w:t>
      </w:r>
      <w:r w:rsidR="003757C5">
        <w:rPr>
          <w:rFonts w:ascii="Times New Roman" w:hAnsi="Times New Roman" w:cs="Times New Roman"/>
          <w:sz w:val="24"/>
          <w:szCs w:val="24"/>
          <w:lang w:val="es-NI"/>
        </w:rPr>
        <w:t xml:space="preserve">promedio </w:t>
      </w:r>
      <w:r w:rsidR="00124B20">
        <w:rPr>
          <w:rFonts w:ascii="Times New Roman" w:hAnsi="Times New Roman" w:cs="Times New Roman"/>
          <w:sz w:val="24"/>
          <w:szCs w:val="24"/>
          <w:lang w:val="es-NI"/>
        </w:rPr>
        <w:t>de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todo el país, que es de 3</w:t>
      </w:r>
      <w:r w:rsidR="00600A9F">
        <w:rPr>
          <w:rFonts w:ascii="Times New Roman" w:hAnsi="Times New Roman" w:cs="Times New Roman"/>
          <w:sz w:val="24"/>
          <w:szCs w:val="24"/>
          <w:lang w:val="es-NI"/>
        </w:rPr>
        <w:t>.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6 hijos</w:t>
      </w:r>
      <w:r w:rsidR="006934E9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2C2827">
        <w:rPr>
          <w:rStyle w:val="FootnoteReference"/>
          <w:rFonts w:ascii="Times New Roman" w:hAnsi="Times New Roman" w:cs="Times New Roman"/>
          <w:sz w:val="24"/>
          <w:szCs w:val="24"/>
        </w:rPr>
        <w:footnoteReference w:id="11"/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Mientras que los hombres y las mujeres quieren familias numerosas, </w:t>
      </w:r>
      <w:r w:rsidR="00ED07AC">
        <w:rPr>
          <w:rFonts w:ascii="Times New Roman" w:hAnsi="Times New Roman" w:cs="Times New Roman"/>
          <w:sz w:val="24"/>
          <w:szCs w:val="24"/>
          <w:lang w:val="es-NI"/>
        </w:rPr>
        <w:t xml:space="preserve">el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27</w:t>
      </w:r>
      <w:r w:rsidR="00ED07AC">
        <w:rPr>
          <w:rFonts w:ascii="Times New Roman" w:hAnsi="Times New Roman" w:cs="Times New Roman"/>
          <w:sz w:val="24"/>
          <w:szCs w:val="24"/>
          <w:lang w:val="es-NI"/>
        </w:rPr>
        <w:t>%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de las mujeres tienen necesidad </w:t>
      </w:r>
      <w:r w:rsidR="00874D1D">
        <w:rPr>
          <w:rFonts w:ascii="Times New Roman" w:hAnsi="Times New Roman" w:cs="Times New Roman"/>
          <w:sz w:val="24"/>
          <w:szCs w:val="24"/>
          <w:lang w:val="es-NI"/>
        </w:rPr>
        <w:t>in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satisfecha </w:t>
      </w:r>
      <w:r w:rsidR="00874D1D">
        <w:rPr>
          <w:rFonts w:ascii="Times New Roman" w:hAnsi="Times New Roman" w:cs="Times New Roman"/>
          <w:sz w:val="24"/>
          <w:szCs w:val="24"/>
          <w:lang w:val="es-NI"/>
        </w:rPr>
        <w:t>en materia de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planificación familiar, lo que significa que desean retrasar o espaci</w:t>
      </w:r>
      <w:r w:rsidR="00C94FEF">
        <w:rPr>
          <w:rFonts w:ascii="Times New Roman" w:hAnsi="Times New Roman" w:cs="Times New Roman"/>
          <w:sz w:val="24"/>
          <w:szCs w:val="24"/>
          <w:lang w:val="es-NI"/>
        </w:rPr>
        <w:t>ar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su próximo embarazo</w:t>
      </w:r>
      <w:r w:rsidR="00C94FEF">
        <w:rPr>
          <w:rFonts w:ascii="Times New Roman" w:hAnsi="Times New Roman" w:cs="Times New Roman"/>
          <w:sz w:val="24"/>
          <w:szCs w:val="24"/>
          <w:lang w:val="es-NI"/>
        </w:rPr>
        <w:t>,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pero no usan </w:t>
      </w:r>
      <w:r w:rsidR="00C94FEF">
        <w:rPr>
          <w:rFonts w:ascii="Times New Roman" w:hAnsi="Times New Roman" w:cs="Times New Roman"/>
          <w:sz w:val="24"/>
          <w:szCs w:val="24"/>
          <w:lang w:val="es-NI"/>
        </w:rPr>
        <w:t xml:space="preserve">la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planificación familiar</w:t>
      </w:r>
      <w:r w:rsidR="006934E9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596061">
        <w:rPr>
          <w:rStyle w:val="FootnoteReference"/>
          <w:rFonts w:ascii="Times New Roman" w:hAnsi="Times New Roman" w:cs="Times New Roman"/>
          <w:sz w:val="24"/>
          <w:szCs w:val="24"/>
        </w:rPr>
        <w:footnoteReference w:id="12"/>
      </w:r>
      <w:r w:rsidR="00596061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Es</w:t>
      </w:r>
      <w:r w:rsidR="00016860">
        <w:rPr>
          <w:rFonts w:ascii="Times New Roman" w:hAnsi="Times New Roman" w:cs="Times New Roman"/>
          <w:sz w:val="24"/>
          <w:szCs w:val="24"/>
          <w:lang w:val="es-NI"/>
        </w:rPr>
        <w:t xml:space="preserve"> el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trip</w:t>
      </w:r>
      <w:r>
        <w:rPr>
          <w:rFonts w:ascii="Times New Roman" w:hAnsi="Times New Roman" w:cs="Times New Roman"/>
          <w:sz w:val="24"/>
          <w:szCs w:val="24"/>
          <w:lang w:val="es-NI"/>
        </w:rPr>
        <w:t>l</w:t>
      </w:r>
      <w:r w:rsidR="00016860">
        <w:rPr>
          <w:rFonts w:ascii="Times New Roman" w:hAnsi="Times New Roman" w:cs="Times New Roman"/>
          <w:sz w:val="24"/>
          <w:szCs w:val="24"/>
          <w:lang w:val="es-NI"/>
        </w:rPr>
        <w:t>e de</w:t>
      </w:r>
      <w:r w:rsidR="00522B84">
        <w:rPr>
          <w:rFonts w:ascii="Times New Roman" w:hAnsi="Times New Roman" w:cs="Times New Roman"/>
          <w:sz w:val="24"/>
          <w:szCs w:val="24"/>
          <w:lang w:val="es-NI"/>
        </w:rPr>
        <w:t xml:space="preserve">l </w:t>
      </w:r>
      <w:r>
        <w:rPr>
          <w:rFonts w:ascii="Times New Roman" w:hAnsi="Times New Roman" w:cs="Times New Roman"/>
          <w:sz w:val="24"/>
          <w:szCs w:val="24"/>
          <w:lang w:val="es-NI"/>
        </w:rPr>
        <w:t xml:space="preserve">promedio </w:t>
      </w:r>
      <w:r w:rsidR="00522B84">
        <w:rPr>
          <w:rFonts w:ascii="Times New Roman" w:hAnsi="Times New Roman" w:cs="Times New Roman"/>
          <w:sz w:val="24"/>
          <w:szCs w:val="24"/>
          <w:lang w:val="es-NI"/>
        </w:rPr>
        <w:t xml:space="preserve">nacional </w:t>
      </w:r>
      <w:r>
        <w:rPr>
          <w:rFonts w:ascii="Times New Roman" w:hAnsi="Times New Roman" w:cs="Times New Roman"/>
          <w:sz w:val="24"/>
          <w:szCs w:val="24"/>
          <w:lang w:val="es-NI"/>
        </w:rPr>
        <w:t>(ver gráfico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2). </w:t>
      </w:r>
      <w:r w:rsidR="00045BDE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021384">
        <w:rPr>
          <w:rFonts w:ascii="Times New Roman" w:hAnsi="Times New Roman" w:cs="Times New Roman"/>
          <w:sz w:val="24"/>
          <w:szCs w:val="24"/>
          <w:lang w:val="es-NI"/>
        </w:rPr>
        <w:t>Por consiguiente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, </w:t>
      </w:r>
      <w:r w:rsidR="00A60A64">
        <w:rPr>
          <w:rFonts w:ascii="Times New Roman" w:hAnsi="Times New Roman" w:cs="Times New Roman"/>
          <w:sz w:val="24"/>
          <w:szCs w:val="24"/>
          <w:lang w:val="es-NI"/>
        </w:rPr>
        <w:t>l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as mujeres en el noreste </w:t>
      </w:r>
      <w:r w:rsidR="00A60A64">
        <w:rPr>
          <w:rFonts w:ascii="Times New Roman" w:hAnsi="Times New Roman" w:cs="Times New Roman"/>
          <w:sz w:val="24"/>
          <w:szCs w:val="24"/>
          <w:lang w:val="es-NI"/>
        </w:rPr>
        <w:t xml:space="preserve">quieren </w:t>
      </w:r>
      <w:r w:rsidR="00D46C69">
        <w:rPr>
          <w:rFonts w:ascii="Times New Roman" w:hAnsi="Times New Roman" w:cs="Times New Roman"/>
          <w:sz w:val="24"/>
          <w:szCs w:val="24"/>
          <w:lang w:val="es-NI"/>
        </w:rPr>
        <w:t xml:space="preserve">tener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familias numerosas</w:t>
      </w:r>
      <w:r w:rsidR="00A60A64">
        <w:rPr>
          <w:rFonts w:ascii="Times New Roman" w:hAnsi="Times New Roman" w:cs="Times New Roman"/>
          <w:sz w:val="24"/>
          <w:szCs w:val="24"/>
          <w:lang w:val="es-NI"/>
        </w:rPr>
        <w:t xml:space="preserve"> y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también </w:t>
      </w:r>
      <w:r w:rsidR="00045BDE">
        <w:rPr>
          <w:rFonts w:ascii="Times New Roman" w:hAnsi="Times New Roman" w:cs="Times New Roman"/>
          <w:sz w:val="24"/>
          <w:szCs w:val="24"/>
          <w:lang w:val="es-NI"/>
        </w:rPr>
        <w:t>desean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FF68FE">
        <w:rPr>
          <w:rFonts w:ascii="Times New Roman" w:hAnsi="Times New Roman" w:cs="Times New Roman"/>
          <w:sz w:val="24"/>
          <w:szCs w:val="24"/>
          <w:lang w:val="es-NI"/>
        </w:rPr>
        <w:t xml:space="preserve">poder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controlar cómo llegan a ese número ideal de hijos.</w:t>
      </w:r>
    </w:p>
    <w:p w14:paraId="321C209E" w14:textId="77777777" w:rsidR="00575AEC" w:rsidRPr="00413FCF" w:rsidRDefault="00081098" w:rsidP="00575AEC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Gráfico</w:t>
      </w:r>
      <w:r w:rsidR="00575AEC">
        <w:rPr>
          <w:rFonts w:ascii="Times New Roman" w:hAnsi="Times New Roman" w:cs="Times New Roman"/>
          <w:b/>
          <w:i/>
          <w:sz w:val="20"/>
          <w:szCs w:val="20"/>
        </w:rPr>
        <w:t xml:space="preserve"> 2</w:t>
      </w:r>
    </w:p>
    <w:p w14:paraId="672A6659" w14:textId="77777777" w:rsidR="00575AEC" w:rsidRDefault="00575AEC" w:rsidP="00575AE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C0D7B22" wp14:editId="30F28383">
            <wp:extent cx="6315740" cy="2743200"/>
            <wp:effectExtent l="0" t="0" r="889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FA6BE50" w14:textId="2194250E" w:rsidR="00575AEC" w:rsidRPr="008F3A44" w:rsidRDefault="003F5F64" w:rsidP="00575AEC">
      <w:pPr>
        <w:jc w:val="center"/>
        <w:rPr>
          <w:rFonts w:ascii="Times New Roman" w:hAnsi="Times New Roman" w:cs="Times New Roman"/>
          <w:sz w:val="20"/>
          <w:szCs w:val="20"/>
          <w:lang w:val="es-NI"/>
        </w:rPr>
      </w:pPr>
      <w:r>
        <w:rPr>
          <w:rFonts w:ascii="Times New Roman" w:hAnsi="Times New Roman" w:cs="Times New Roman"/>
          <w:sz w:val="20"/>
          <w:szCs w:val="20"/>
          <w:lang w:val="es-NI"/>
        </w:rPr>
        <w:t>Fuente</w:t>
      </w:r>
      <w:r w:rsidR="00575AEC" w:rsidRPr="008F3A44">
        <w:rPr>
          <w:rFonts w:ascii="Times New Roman" w:hAnsi="Times New Roman" w:cs="Times New Roman"/>
          <w:sz w:val="20"/>
          <w:szCs w:val="20"/>
          <w:lang w:val="es-NI"/>
        </w:rPr>
        <w:t xml:space="preserve">: </w:t>
      </w:r>
      <w:r w:rsidR="00991222">
        <w:rPr>
          <w:rFonts w:ascii="Times New Roman" w:hAnsi="Times New Roman" w:cs="Times New Roman"/>
          <w:sz w:val="20"/>
          <w:szCs w:val="20"/>
          <w:lang w:val="es-NI"/>
        </w:rPr>
        <w:t>ENDESA</w:t>
      </w:r>
      <w:r w:rsidR="00991222" w:rsidRPr="008F3A44">
        <w:rPr>
          <w:rFonts w:ascii="Times New Roman" w:hAnsi="Times New Roman" w:cs="Times New Roman"/>
          <w:sz w:val="20"/>
          <w:szCs w:val="20"/>
          <w:lang w:val="es-NI"/>
        </w:rPr>
        <w:t xml:space="preserve"> </w:t>
      </w:r>
      <w:r w:rsidR="00575AEC" w:rsidRPr="008F3A44">
        <w:rPr>
          <w:rFonts w:ascii="Times New Roman" w:hAnsi="Times New Roman" w:cs="Times New Roman"/>
          <w:sz w:val="20"/>
          <w:szCs w:val="20"/>
          <w:lang w:val="es-NI"/>
        </w:rPr>
        <w:t>Ken</w:t>
      </w:r>
      <w:r>
        <w:rPr>
          <w:rFonts w:ascii="Times New Roman" w:hAnsi="Times New Roman" w:cs="Times New Roman"/>
          <w:sz w:val="20"/>
          <w:szCs w:val="20"/>
          <w:lang w:val="es-NI"/>
        </w:rPr>
        <w:t>i</w:t>
      </w:r>
      <w:r w:rsidR="00575AEC" w:rsidRPr="008F3A44">
        <w:rPr>
          <w:rFonts w:ascii="Times New Roman" w:hAnsi="Times New Roman" w:cs="Times New Roman"/>
          <w:sz w:val="20"/>
          <w:szCs w:val="20"/>
          <w:lang w:val="es-NI"/>
        </w:rPr>
        <w:t>a 7.12</w:t>
      </w:r>
    </w:p>
    <w:p w14:paraId="0A8B83E4" w14:textId="7DCE4B62" w:rsidR="00457562" w:rsidRPr="00081098" w:rsidRDefault="00081098" w:rsidP="00081098">
      <w:pPr>
        <w:jc w:val="both"/>
        <w:rPr>
          <w:rFonts w:ascii="Times New Roman" w:hAnsi="Times New Roman" w:cs="Times New Roman"/>
          <w:sz w:val="24"/>
          <w:szCs w:val="24"/>
          <w:lang w:val="es-NI"/>
        </w:rPr>
      </w:pP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Una de las razones </w:t>
      </w:r>
      <w:r w:rsidR="00CB1C90">
        <w:rPr>
          <w:rFonts w:ascii="Times New Roman" w:hAnsi="Times New Roman" w:cs="Times New Roman"/>
          <w:sz w:val="24"/>
          <w:szCs w:val="24"/>
          <w:lang w:val="es-NI"/>
        </w:rPr>
        <w:t>por la</w:t>
      </w:r>
      <w:r w:rsidR="00145A44">
        <w:rPr>
          <w:rFonts w:ascii="Times New Roman" w:hAnsi="Times New Roman" w:cs="Times New Roman"/>
          <w:sz w:val="24"/>
          <w:szCs w:val="24"/>
          <w:lang w:val="es-NI"/>
        </w:rPr>
        <w:t>s</w:t>
      </w:r>
      <w:r w:rsidR="00CB1C90">
        <w:rPr>
          <w:rFonts w:ascii="Times New Roman" w:hAnsi="Times New Roman" w:cs="Times New Roman"/>
          <w:sz w:val="24"/>
          <w:szCs w:val="24"/>
          <w:lang w:val="es-NI"/>
        </w:rPr>
        <w:t xml:space="preserve"> cual</w:t>
      </w:r>
      <w:r w:rsidR="00145A44">
        <w:rPr>
          <w:rFonts w:ascii="Times New Roman" w:hAnsi="Times New Roman" w:cs="Times New Roman"/>
          <w:sz w:val="24"/>
          <w:szCs w:val="24"/>
          <w:lang w:val="es-NI"/>
        </w:rPr>
        <w:t>es</w:t>
      </w:r>
      <w:r w:rsidR="00CB1C90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las mujeres </w:t>
      </w:r>
      <w:r w:rsidR="00AE65E4">
        <w:rPr>
          <w:rFonts w:ascii="Times New Roman" w:hAnsi="Times New Roman" w:cs="Times New Roman"/>
          <w:sz w:val="24"/>
          <w:szCs w:val="24"/>
          <w:lang w:val="es-NI"/>
        </w:rPr>
        <w:t>enfrentan obstáculos en el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uso de P</w:t>
      </w:r>
      <w:r w:rsidR="00F900FE">
        <w:rPr>
          <w:rFonts w:ascii="Times New Roman" w:hAnsi="Times New Roman" w:cs="Times New Roman"/>
          <w:sz w:val="24"/>
          <w:szCs w:val="24"/>
          <w:lang w:val="es-NI"/>
        </w:rPr>
        <w:t>F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es </w:t>
      </w:r>
      <w:r w:rsidR="00AE65E4">
        <w:rPr>
          <w:rFonts w:ascii="Times New Roman" w:hAnsi="Times New Roman" w:cs="Times New Roman"/>
          <w:sz w:val="24"/>
          <w:szCs w:val="24"/>
          <w:lang w:val="es-NI"/>
        </w:rPr>
        <w:t>por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que </w:t>
      </w:r>
      <w:r w:rsidR="00AE65E4">
        <w:rPr>
          <w:rFonts w:ascii="Times New Roman" w:hAnsi="Times New Roman" w:cs="Times New Roman"/>
          <w:sz w:val="24"/>
          <w:szCs w:val="24"/>
          <w:lang w:val="es-NI"/>
        </w:rPr>
        <w:t xml:space="preserve">el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50</w:t>
      </w:r>
      <w:r w:rsidR="00AE65E4">
        <w:rPr>
          <w:rFonts w:ascii="Times New Roman" w:hAnsi="Times New Roman" w:cs="Times New Roman"/>
          <w:sz w:val="24"/>
          <w:szCs w:val="24"/>
          <w:lang w:val="es-NI"/>
        </w:rPr>
        <w:t xml:space="preserve">%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de las mujeres </w:t>
      </w:r>
      <w:r w:rsidR="00AE65E4">
        <w:rPr>
          <w:rFonts w:ascii="Times New Roman" w:hAnsi="Times New Roman" w:cs="Times New Roman"/>
          <w:sz w:val="24"/>
          <w:szCs w:val="24"/>
          <w:lang w:val="es-NI"/>
        </w:rPr>
        <w:t xml:space="preserve">entre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15</w:t>
      </w:r>
      <w:r w:rsidR="00AE65E4">
        <w:rPr>
          <w:rFonts w:ascii="Times New Roman" w:hAnsi="Times New Roman" w:cs="Times New Roman"/>
          <w:sz w:val="24"/>
          <w:szCs w:val="24"/>
          <w:lang w:val="es-NI"/>
        </w:rPr>
        <w:t>-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49 años en la región nor</w:t>
      </w:r>
      <w:r w:rsidR="0088421D">
        <w:rPr>
          <w:rFonts w:ascii="Times New Roman" w:hAnsi="Times New Roman" w:cs="Times New Roman"/>
          <w:sz w:val="24"/>
          <w:szCs w:val="24"/>
          <w:lang w:val="es-NI"/>
        </w:rPr>
        <w:t xml:space="preserve">oriental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reportó dificultades </w:t>
      </w:r>
      <w:r w:rsidR="00A176C8">
        <w:rPr>
          <w:rFonts w:ascii="Times New Roman" w:hAnsi="Times New Roman" w:cs="Times New Roman"/>
          <w:sz w:val="24"/>
          <w:szCs w:val="24"/>
          <w:lang w:val="es-NI"/>
        </w:rPr>
        <w:t>para</w:t>
      </w:r>
      <w:r w:rsidR="00A967CD">
        <w:rPr>
          <w:rFonts w:ascii="Times New Roman" w:hAnsi="Times New Roman" w:cs="Times New Roman"/>
          <w:sz w:val="24"/>
          <w:szCs w:val="24"/>
          <w:lang w:val="es-NI"/>
        </w:rPr>
        <w:t xml:space="preserve"> acceder a </w:t>
      </w:r>
      <w:r w:rsidR="00B83040">
        <w:rPr>
          <w:rFonts w:ascii="Times New Roman" w:hAnsi="Times New Roman" w:cs="Times New Roman"/>
          <w:sz w:val="24"/>
          <w:szCs w:val="24"/>
          <w:lang w:val="es-NI"/>
        </w:rPr>
        <w:t xml:space="preserve">los servicios </w:t>
      </w:r>
      <w:r w:rsidR="00A967CD">
        <w:rPr>
          <w:rFonts w:ascii="Times New Roman" w:hAnsi="Times New Roman" w:cs="Times New Roman"/>
          <w:sz w:val="24"/>
          <w:szCs w:val="24"/>
          <w:lang w:val="es-NI"/>
        </w:rPr>
        <w:t>de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salud </w:t>
      </w:r>
      <w:r w:rsidR="00BF0DBA">
        <w:rPr>
          <w:rFonts w:ascii="Times New Roman" w:hAnsi="Times New Roman" w:cs="Times New Roman"/>
          <w:sz w:val="24"/>
          <w:szCs w:val="24"/>
          <w:lang w:val="es-NI"/>
        </w:rPr>
        <w:t>a consecuencia de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la distancia. </w:t>
      </w:r>
      <w:r w:rsidR="00BF0DBA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Además, 60</w:t>
      </w:r>
      <w:r w:rsidR="00F64893">
        <w:rPr>
          <w:rFonts w:ascii="Times New Roman" w:hAnsi="Times New Roman" w:cs="Times New Roman"/>
          <w:sz w:val="24"/>
          <w:szCs w:val="24"/>
          <w:lang w:val="es-NI"/>
        </w:rPr>
        <w:t>%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del mismo grupo report</w:t>
      </w:r>
      <w:r w:rsidR="0012161A">
        <w:rPr>
          <w:rFonts w:ascii="Times New Roman" w:hAnsi="Times New Roman" w:cs="Times New Roman"/>
          <w:sz w:val="24"/>
          <w:szCs w:val="24"/>
          <w:lang w:val="es-NI"/>
        </w:rPr>
        <w:t xml:space="preserve">ó problemas para pagar esos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servicios</w:t>
      </w:r>
      <w:r w:rsidR="006934E9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413FCF">
        <w:rPr>
          <w:rStyle w:val="FootnoteReference"/>
          <w:rFonts w:ascii="Times New Roman" w:hAnsi="Times New Roman" w:cs="Times New Roman"/>
          <w:sz w:val="24"/>
          <w:szCs w:val="24"/>
        </w:rPr>
        <w:footnoteReference w:id="13"/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12161A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La alta tasa de necesidad insatisfecha puede también explicarse por la falta de acceso a la información; las mujeres en el noreste no est</w:t>
      </w:r>
      <w:r w:rsidR="003E393C">
        <w:rPr>
          <w:rFonts w:ascii="Times New Roman" w:hAnsi="Times New Roman" w:cs="Times New Roman"/>
          <w:sz w:val="24"/>
          <w:szCs w:val="24"/>
          <w:lang w:val="es-NI"/>
        </w:rPr>
        <w:t>á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n expuestas a mensajes de planificación familiar a través de </w:t>
      </w:r>
      <w:r w:rsidR="007C03BE">
        <w:rPr>
          <w:rFonts w:ascii="Times New Roman" w:hAnsi="Times New Roman" w:cs="Times New Roman"/>
          <w:sz w:val="24"/>
          <w:szCs w:val="24"/>
          <w:lang w:val="es-NI"/>
        </w:rPr>
        <w:t xml:space="preserve">la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radio, televisión o periódico</w:t>
      </w:r>
      <w:r w:rsidR="003E393C">
        <w:rPr>
          <w:rFonts w:ascii="Times New Roman" w:hAnsi="Times New Roman" w:cs="Times New Roman"/>
          <w:sz w:val="24"/>
          <w:szCs w:val="24"/>
          <w:lang w:val="es-NI"/>
        </w:rPr>
        <w:t>/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revista. </w:t>
      </w:r>
      <w:r w:rsidR="003E393C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A nivel nacional, casi el 80</w:t>
      </w:r>
      <w:r w:rsidR="003E393C">
        <w:rPr>
          <w:rFonts w:ascii="Times New Roman" w:hAnsi="Times New Roman" w:cs="Times New Roman"/>
          <w:sz w:val="24"/>
          <w:szCs w:val="24"/>
          <w:lang w:val="es-NI"/>
        </w:rPr>
        <w:t>%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de las mujeres reciben mensajes de planificación familiar a través de estos medios. </w:t>
      </w:r>
      <w:r w:rsidR="00EF55D7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694CED">
        <w:rPr>
          <w:rFonts w:ascii="Times New Roman" w:hAnsi="Times New Roman" w:cs="Times New Roman"/>
          <w:sz w:val="24"/>
          <w:szCs w:val="24"/>
          <w:lang w:val="es-NI"/>
        </w:rPr>
        <w:t>S</w:t>
      </w:r>
      <w:r w:rsidR="00694CED" w:rsidRPr="00081098">
        <w:rPr>
          <w:rFonts w:ascii="Times New Roman" w:hAnsi="Times New Roman" w:cs="Times New Roman"/>
          <w:sz w:val="24"/>
          <w:szCs w:val="24"/>
          <w:lang w:val="es-NI"/>
        </w:rPr>
        <w:t>in embargo</w:t>
      </w:r>
      <w:r w:rsidR="00694CED">
        <w:rPr>
          <w:rFonts w:ascii="Times New Roman" w:hAnsi="Times New Roman" w:cs="Times New Roman"/>
          <w:sz w:val="24"/>
          <w:szCs w:val="24"/>
          <w:lang w:val="es-NI"/>
        </w:rPr>
        <w:t>, en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la región nor</w:t>
      </w:r>
      <w:r w:rsidR="00694CED">
        <w:rPr>
          <w:rFonts w:ascii="Times New Roman" w:hAnsi="Times New Roman" w:cs="Times New Roman"/>
          <w:sz w:val="24"/>
          <w:szCs w:val="24"/>
          <w:lang w:val="es-NI"/>
        </w:rPr>
        <w:t>oriental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sólo el 19.8</w:t>
      </w:r>
      <w:r w:rsidR="00A26DA2">
        <w:rPr>
          <w:rFonts w:ascii="Times New Roman" w:hAnsi="Times New Roman" w:cs="Times New Roman"/>
          <w:sz w:val="24"/>
          <w:szCs w:val="24"/>
          <w:lang w:val="es-NI"/>
        </w:rPr>
        <w:t>%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de las mujeres han recibido estos mensajes a través de los medios de comunicación</w:t>
      </w:r>
      <w:r w:rsidR="006934E9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7A0B89">
        <w:rPr>
          <w:rStyle w:val="FootnoteReference"/>
          <w:rFonts w:ascii="Times New Roman" w:hAnsi="Times New Roman" w:cs="Times New Roman"/>
          <w:sz w:val="24"/>
          <w:szCs w:val="24"/>
        </w:rPr>
        <w:footnoteReference w:id="14"/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Además, mientras </w:t>
      </w:r>
      <w:r w:rsidR="0018296D">
        <w:rPr>
          <w:rFonts w:ascii="Times New Roman" w:hAnsi="Times New Roman" w:cs="Times New Roman"/>
          <w:sz w:val="24"/>
          <w:szCs w:val="24"/>
          <w:lang w:val="es-NI"/>
        </w:rPr>
        <w:t xml:space="preserve">que a lo largo de todo el país </w:t>
      </w:r>
      <w:r w:rsidR="001D436A">
        <w:rPr>
          <w:rFonts w:ascii="Times New Roman" w:hAnsi="Times New Roman" w:cs="Times New Roman"/>
          <w:sz w:val="24"/>
          <w:szCs w:val="24"/>
          <w:lang w:val="es-NI"/>
        </w:rPr>
        <w:t xml:space="preserve">el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99.7</w:t>
      </w:r>
      <w:r w:rsidR="00A26DA2">
        <w:rPr>
          <w:rFonts w:ascii="Times New Roman" w:hAnsi="Times New Roman" w:cs="Times New Roman"/>
          <w:sz w:val="24"/>
          <w:szCs w:val="24"/>
          <w:lang w:val="es-NI"/>
        </w:rPr>
        <w:t>%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de todas </w:t>
      </w:r>
      <w:r w:rsidR="00D81B56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las mujeres </w:t>
      </w:r>
      <w:r w:rsidR="00ED7907" w:rsidRPr="00081098">
        <w:rPr>
          <w:rFonts w:ascii="Times New Roman" w:hAnsi="Times New Roman" w:cs="Times New Roman"/>
          <w:sz w:val="24"/>
          <w:szCs w:val="24"/>
          <w:lang w:val="es-NI"/>
        </w:rPr>
        <w:t>casadas</w:t>
      </w:r>
      <w:r w:rsidR="00ED7907">
        <w:rPr>
          <w:rFonts w:ascii="Times New Roman" w:hAnsi="Times New Roman" w:cs="Times New Roman"/>
          <w:sz w:val="24"/>
          <w:szCs w:val="24"/>
          <w:lang w:val="es-NI"/>
        </w:rPr>
        <w:t xml:space="preserve"> entre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15</w:t>
      </w:r>
      <w:r w:rsidR="00D81B56">
        <w:rPr>
          <w:rFonts w:ascii="Times New Roman" w:hAnsi="Times New Roman" w:cs="Times New Roman"/>
          <w:sz w:val="24"/>
          <w:szCs w:val="24"/>
          <w:lang w:val="es-NI"/>
        </w:rPr>
        <w:t>-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49 </w:t>
      </w:r>
      <w:r w:rsidR="00D81B56">
        <w:rPr>
          <w:rFonts w:ascii="Times New Roman" w:hAnsi="Times New Roman" w:cs="Times New Roman"/>
          <w:sz w:val="24"/>
          <w:szCs w:val="24"/>
          <w:lang w:val="es-NI"/>
        </w:rPr>
        <w:t xml:space="preserve">años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ha </w:t>
      </w:r>
      <w:r w:rsidR="00B7045E">
        <w:rPr>
          <w:rFonts w:ascii="Times New Roman" w:hAnsi="Times New Roman" w:cs="Times New Roman"/>
          <w:sz w:val="24"/>
          <w:szCs w:val="24"/>
          <w:lang w:val="es-NI"/>
        </w:rPr>
        <w:t xml:space="preserve">escuchado </w:t>
      </w:r>
      <w:r w:rsidR="005B5A05">
        <w:rPr>
          <w:rFonts w:ascii="Times New Roman" w:hAnsi="Times New Roman" w:cs="Times New Roman"/>
          <w:sz w:val="24"/>
          <w:szCs w:val="24"/>
          <w:lang w:val="es-NI"/>
        </w:rPr>
        <w:t xml:space="preserve">sobre </w:t>
      </w:r>
      <w:r w:rsidR="002F51C9">
        <w:rPr>
          <w:rFonts w:ascii="Times New Roman" w:hAnsi="Times New Roman" w:cs="Times New Roman"/>
          <w:sz w:val="24"/>
          <w:szCs w:val="24"/>
          <w:lang w:val="es-NI"/>
        </w:rPr>
        <w:t xml:space="preserve">algún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método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lastRenderedPageBreak/>
        <w:t>anticonceptivos, en el noreste</w:t>
      </w:r>
      <w:r w:rsidR="006927EC">
        <w:rPr>
          <w:rFonts w:ascii="Times New Roman" w:hAnsi="Times New Roman" w:cs="Times New Roman"/>
          <w:sz w:val="24"/>
          <w:szCs w:val="24"/>
          <w:lang w:val="es-NI"/>
        </w:rPr>
        <w:t xml:space="preserve"> este </w:t>
      </w:r>
      <w:r w:rsidR="00363F30">
        <w:rPr>
          <w:rFonts w:ascii="Times New Roman" w:hAnsi="Times New Roman" w:cs="Times New Roman"/>
          <w:sz w:val="24"/>
          <w:szCs w:val="24"/>
          <w:lang w:val="es-NI"/>
        </w:rPr>
        <w:t xml:space="preserve">nivel </w:t>
      </w:r>
      <w:r w:rsidR="006927EC">
        <w:rPr>
          <w:rFonts w:ascii="Times New Roman" w:hAnsi="Times New Roman" w:cs="Times New Roman"/>
          <w:sz w:val="24"/>
          <w:szCs w:val="24"/>
          <w:lang w:val="es-NI"/>
        </w:rPr>
        <w:t>baja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a sólo </w:t>
      </w:r>
      <w:r w:rsidR="001D436A">
        <w:rPr>
          <w:rFonts w:ascii="Times New Roman" w:hAnsi="Times New Roman" w:cs="Times New Roman"/>
          <w:sz w:val="24"/>
          <w:szCs w:val="24"/>
          <w:lang w:val="es-NI"/>
        </w:rPr>
        <w:t xml:space="preserve">el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89</w:t>
      </w:r>
      <w:r w:rsidR="001D436A">
        <w:rPr>
          <w:rFonts w:ascii="Times New Roman" w:hAnsi="Times New Roman" w:cs="Times New Roman"/>
          <w:sz w:val="24"/>
          <w:szCs w:val="24"/>
          <w:lang w:val="es-NI"/>
        </w:rPr>
        <w:t>%</w:t>
      </w:r>
      <w:r w:rsidR="006934E9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7A0B89">
        <w:rPr>
          <w:rStyle w:val="FootnoteReference"/>
          <w:rFonts w:ascii="Times New Roman" w:hAnsi="Times New Roman" w:cs="Times New Roman"/>
          <w:sz w:val="24"/>
          <w:szCs w:val="24"/>
        </w:rPr>
        <w:footnoteReference w:id="15"/>
      </w:r>
      <w:r w:rsidR="00363F30">
        <w:rPr>
          <w:rFonts w:ascii="Times New Roman" w:hAnsi="Times New Roman" w:cs="Times New Roman"/>
          <w:sz w:val="24"/>
          <w:szCs w:val="24"/>
          <w:lang w:val="es-NI"/>
        </w:rPr>
        <w:t xml:space="preserve"> 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De hecho, en Mandera, sólo el 59,7% de las mujeres </w:t>
      </w:r>
      <w:r w:rsidR="00D20A75">
        <w:rPr>
          <w:rFonts w:ascii="Times New Roman" w:hAnsi="Times New Roman" w:cs="Times New Roman"/>
          <w:sz w:val="24"/>
          <w:szCs w:val="24"/>
          <w:lang w:val="es-NI"/>
        </w:rPr>
        <w:t xml:space="preserve">mencionaron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haber </w:t>
      </w:r>
      <w:r w:rsidR="00D20A75">
        <w:rPr>
          <w:rFonts w:ascii="Times New Roman" w:hAnsi="Times New Roman" w:cs="Times New Roman"/>
          <w:sz w:val="24"/>
          <w:szCs w:val="24"/>
          <w:lang w:val="es-NI"/>
        </w:rPr>
        <w:t xml:space="preserve">escuchado </w:t>
      </w:r>
      <w:r w:rsidR="002A349F">
        <w:rPr>
          <w:rFonts w:ascii="Times New Roman" w:hAnsi="Times New Roman" w:cs="Times New Roman"/>
          <w:sz w:val="24"/>
          <w:szCs w:val="24"/>
          <w:lang w:val="es-NI"/>
        </w:rPr>
        <w:t xml:space="preserve">sobre algún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método anticoncep</w:t>
      </w:r>
      <w:r w:rsidR="002A349F">
        <w:rPr>
          <w:rFonts w:ascii="Times New Roman" w:hAnsi="Times New Roman" w:cs="Times New Roman"/>
          <w:sz w:val="24"/>
          <w:szCs w:val="24"/>
          <w:lang w:val="es-NI"/>
        </w:rPr>
        <w:t>tivo</w:t>
      </w:r>
      <w:r w:rsidR="006934E9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895BDB">
        <w:rPr>
          <w:rStyle w:val="FootnoteReference"/>
          <w:rFonts w:ascii="Times New Roman" w:hAnsi="Times New Roman" w:cs="Times New Roman"/>
          <w:sz w:val="24"/>
          <w:szCs w:val="24"/>
        </w:rPr>
        <w:footnoteReference w:id="16"/>
      </w:r>
      <w:r w:rsidR="00895BDB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</w:p>
    <w:p w14:paraId="24973C22" w14:textId="7B3B5F1A" w:rsidR="0021077F" w:rsidRPr="00081098" w:rsidRDefault="00081098" w:rsidP="005258D5">
      <w:pPr>
        <w:rPr>
          <w:rFonts w:ascii="Times New Roman" w:hAnsi="Times New Roman" w:cs="Times New Roman"/>
          <w:sz w:val="24"/>
          <w:szCs w:val="24"/>
          <w:lang w:val="es-NI"/>
        </w:rPr>
      </w:pPr>
      <w:r w:rsidRPr="00081098">
        <w:rPr>
          <w:rFonts w:ascii="Times New Roman" w:hAnsi="Times New Roman" w:cs="Times New Roman"/>
          <w:sz w:val="24"/>
          <w:szCs w:val="24"/>
          <w:lang w:val="es-NI"/>
        </w:rPr>
        <w:t>La tasa global de fecundidad en la región nor</w:t>
      </w:r>
      <w:r w:rsidR="00F74F22">
        <w:rPr>
          <w:rFonts w:ascii="Times New Roman" w:hAnsi="Times New Roman" w:cs="Times New Roman"/>
          <w:sz w:val="24"/>
          <w:szCs w:val="24"/>
          <w:lang w:val="es-NI"/>
        </w:rPr>
        <w:t>oriental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es </w:t>
      </w:r>
      <w:r w:rsidR="001C77B2" w:rsidRPr="00081098">
        <w:rPr>
          <w:rFonts w:ascii="Times New Roman" w:hAnsi="Times New Roman" w:cs="Times New Roman"/>
          <w:sz w:val="24"/>
          <w:szCs w:val="24"/>
          <w:lang w:val="es-NI"/>
        </w:rPr>
        <w:t>2</w:t>
      </w:r>
      <w:r w:rsidR="00F74F22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1C77B2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5 </w:t>
      </w:r>
      <w:r w:rsidR="001C77B2">
        <w:rPr>
          <w:rFonts w:ascii="Times New Roman" w:hAnsi="Times New Roman" w:cs="Times New Roman"/>
          <w:sz w:val="24"/>
          <w:szCs w:val="24"/>
          <w:lang w:val="es-NI"/>
        </w:rPr>
        <w:t>partos</w:t>
      </w:r>
      <w:r w:rsidR="001C77B2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105618">
        <w:rPr>
          <w:rFonts w:ascii="Times New Roman" w:hAnsi="Times New Roman" w:cs="Times New Roman"/>
          <w:sz w:val="24"/>
          <w:szCs w:val="24"/>
          <w:lang w:val="es-NI"/>
        </w:rPr>
        <w:t>má</w:t>
      </w:r>
      <w:r w:rsidR="0054703F">
        <w:rPr>
          <w:rFonts w:ascii="Times New Roman" w:hAnsi="Times New Roman" w:cs="Times New Roman"/>
          <w:sz w:val="24"/>
          <w:szCs w:val="24"/>
          <w:lang w:val="es-NI"/>
        </w:rPr>
        <w:t xml:space="preserve">s alta </w:t>
      </w:r>
      <w:r w:rsidR="00EA2346">
        <w:rPr>
          <w:rFonts w:ascii="Times New Roman" w:hAnsi="Times New Roman" w:cs="Times New Roman"/>
          <w:sz w:val="24"/>
          <w:szCs w:val="24"/>
          <w:lang w:val="es-NI"/>
        </w:rPr>
        <w:t xml:space="preserve">que el promedio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nacional</w:t>
      </w:r>
      <w:r w:rsidR="00EA2346">
        <w:rPr>
          <w:rFonts w:ascii="Times New Roman" w:hAnsi="Times New Roman" w:cs="Times New Roman"/>
          <w:sz w:val="24"/>
          <w:szCs w:val="24"/>
          <w:lang w:val="es-NI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es-NI"/>
        </w:rPr>
        <w:t xml:space="preserve">Como se </w:t>
      </w:r>
      <w:r w:rsidR="0054703F">
        <w:rPr>
          <w:rFonts w:ascii="Times New Roman" w:hAnsi="Times New Roman" w:cs="Times New Roman"/>
          <w:sz w:val="24"/>
          <w:szCs w:val="24"/>
          <w:lang w:val="es-NI"/>
        </w:rPr>
        <w:t xml:space="preserve">puede </w:t>
      </w:r>
      <w:r>
        <w:rPr>
          <w:rFonts w:ascii="Times New Roman" w:hAnsi="Times New Roman" w:cs="Times New Roman"/>
          <w:sz w:val="24"/>
          <w:szCs w:val="24"/>
          <w:lang w:val="es-NI"/>
        </w:rPr>
        <w:t>ve</w:t>
      </w:r>
      <w:r w:rsidR="0054703F">
        <w:rPr>
          <w:rFonts w:ascii="Times New Roman" w:hAnsi="Times New Roman" w:cs="Times New Roman"/>
          <w:sz w:val="24"/>
          <w:szCs w:val="24"/>
          <w:lang w:val="es-NI"/>
        </w:rPr>
        <w:t>r</w:t>
      </w:r>
      <w:r>
        <w:rPr>
          <w:rFonts w:ascii="Times New Roman" w:hAnsi="Times New Roman" w:cs="Times New Roman"/>
          <w:sz w:val="24"/>
          <w:szCs w:val="24"/>
          <w:lang w:val="es-NI"/>
        </w:rPr>
        <w:t xml:space="preserve"> en el gráfico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3, las mujeres en l</w:t>
      </w:r>
      <w:r w:rsidR="0054703F">
        <w:rPr>
          <w:rFonts w:ascii="Times New Roman" w:hAnsi="Times New Roman" w:cs="Times New Roman"/>
          <w:sz w:val="24"/>
          <w:szCs w:val="24"/>
          <w:lang w:val="es-NI"/>
        </w:rPr>
        <w:t>a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s tres c</w:t>
      </w:r>
      <w:r w:rsidR="0054703F">
        <w:rPr>
          <w:rFonts w:ascii="Times New Roman" w:hAnsi="Times New Roman" w:cs="Times New Roman"/>
          <w:sz w:val="24"/>
          <w:szCs w:val="24"/>
          <w:lang w:val="es-NI"/>
        </w:rPr>
        <w:t>iudades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de la región nor</w:t>
      </w:r>
      <w:r w:rsidR="00F74F22">
        <w:rPr>
          <w:rFonts w:ascii="Times New Roman" w:hAnsi="Times New Roman" w:cs="Times New Roman"/>
          <w:sz w:val="24"/>
          <w:szCs w:val="24"/>
          <w:lang w:val="es-NI"/>
        </w:rPr>
        <w:t xml:space="preserve">oriental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tienen entre </w:t>
      </w:r>
      <w:r w:rsidR="00FF0B26">
        <w:rPr>
          <w:rFonts w:ascii="Times New Roman" w:hAnsi="Times New Roman" w:cs="Times New Roman"/>
          <w:sz w:val="24"/>
          <w:szCs w:val="24"/>
          <w:lang w:val="es-NI"/>
        </w:rPr>
        <w:t>5-8 hijos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en promedio. </w:t>
      </w:r>
      <w:r w:rsidR="00FF0B26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En general, la región nor</w:t>
      </w:r>
      <w:r w:rsidR="00481BC8">
        <w:rPr>
          <w:rFonts w:ascii="Times New Roman" w:hAnsi="Times New Roman" w:cs="Times New Roman"/>
          <w:sz w:val="24"/>
          <w:szCs w:val="24"/>
          <w:lang w:val="es-NI"/>
        </w:rPr>
        <w:t>oriental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tiene una tasa </w:t>
      </w:r>
      <w:r w:rsidR="00994A85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total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de </w:t>
      </w:r>
      <w:r w:rsidR="00994A85" w:rsidRPr="00081098">
        <w:rPr>
          <w:rFonts w:ascii="Times New Roman" w:hAnsi="Times New Roman" w:cs="Times New Roman"/>
          <w:sz w:val="24"/>
          <w:szCs w:val="24"/>
          <w:lang w:val="es-NI"/>
        </w:rPr>
        <w:t>fec</w:t>
      </w:r>
      <w:r w:rsidR="00994A85">
        <w:rPr>
          <w:rFonts w:ascii="Times New Roman" w:hAnsi="Times New Roman" w:cs="Times New Roman"/>
          <w:sz w:val="24"/>
          <w:szCs w:val="24"/>
          <w:lang w:val="es-NI"/>
        </w:rPr>
        <w:t xml:space="preserve">undidad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de 6.4, lo que significa que, en promedio, cada mujer </w:t>
      </w:r>
      <w:r w:rsidR="00997EDB">
        <w:rPr>
          <w:rFonts w:ascii="Times New Roman" w:hAnsi="Times New Roman" w:cs="Times New Roman"/>
          <w:sz w:val="24"/>
          <w:szCs w:val="24"/>
          <w:lang w:val="es-NI"/>
        </w:rPr>
        <w:t xml:space="preserve">da luz a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6 hijos </w:t>
      </w:r>
      <w:r w:rsidR="00997EDB">
        <w:rPr>
          <w:rFonts w:ascii="Times New Roman" w:hAnsi="Times New Roman" w:cs="Times New Roman"/>
          <w:sz w:val="24"/>
          <w:szCs w:val="24"/>
          <w:lang w:val="es-NI"/>
        </w:rPr>
        <w:t>en toda su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vida. </w:t>
      </w:r>
      <w:r w:rsidR="005A5D72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Est</w:t>
      </w:r>
      <w:r w:rsidR="00934201">
        <w:rPr>
          <w:rFonts w:ascii="Times New Roman" w:hAnsi="Times New Roman" w:cs="Times New Roman"/>
          <w:sz w:val="24"/>
          <w:szCs w:val="24"/>
          <w:lang w:val="es-NI"/>
        </w:rPr>
        <w:t xml:space="preserve">a alta tasa de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fecundidad refleja </w:t>
      </w:r>
      <w:r w:rsidR="00934201">
        <w:rPr>
          <w:rFonts w:ascii="Times New Roman" w:hAnsi="Times New Roman" w:cs="Times New Roman"/>
          <w:sz w:val="24"/>
          <w:szCs w:val="24"/>
          <w:lang w:val="es-NI"/>
        </w:rPr>
        <w:t xml:space="preserve">el poco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uso de métodos anticonceptivos, falta de educación </w:t>
      </w:r>
      <w:r w:rsidR="00934201">
        <w:rPr>
          <w:rFonts w:ascii="Times New Roman" w:hAnsi="Times New Roman" w:cs="Times New Roman"/>
          <w:sz w:val="24"/>
          <w:szCs w:val="24"/>
          <w:lang w:val="es-NI"/>
        </w:rPr>
        <w:t xml:space="preserve">sobre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P</w:t>
      </w:r>
      <w:r w:rsidR="00F900FE">
        <w:rPr>
          <w:rFonts w:ascii="Times New Roman" w:hAnsi="Times New Roman" w:cs="Times New Roman"/>
          <w:sz w:val="24"/>
          <w:szCs w:val="24"/>
          <w:lang w:val="es-NI"/>
        </w:rPr>
        <w:t>F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, la </w:t>
      </w:r>
      <w:r w:rsidR="00593A42">
        <w:rPr>
          <w:rFonts w:ascii="Times New Roman" w:hAnsi="Times New Roman" w:cs="Times New Roman"/>
          <w:sz w:val="24"/>
          <w:szCs w:val="24"/>
          <w:lang w:val="es-NI"/>
        </w:rPr>
        <w:t>in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capacidad </w:t>
      </w:r>
      <w:r w:rsidR="00747E6B">
        <w:rPr>
          <w:rFonts w:ascii="Times New Roman" w:hAnsi="Times New Roman" w:cs="Times New Roman"/>
          <w:sz w:val="24"/>
          <w:szCs w:val="24"/>
          <w:lang w:val="es-NI"/>
        </w:rPr>
        <w:t>de d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emanda</w:t>
      </w:r>
      <w:r w:rsidR="00747E6B">
        <w:rPr>
          <w:rFonts w:ascii="Times New Roman" w:hAnsi="Times New Roman" w:cs="Times New Roman"/>
          <w:sz w:val="24"/>
          <w:szCs w:val="24"/>
          <w:lang w:val="es-NI"/>
        </w:rPr>
        <w:t>r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y acce</w:t>
      </w:r>
      <w:r w:rsidR="0000631B">
        <w:rPr>
          <w:rFonts w:ascii="Times New Roman" w:hAnsi="Times New Roman" w:cs="Times New Roman"/>
          <w:sz w:val="24"/>
          <w:szCs w:val="24"/>
          <w:lang w:val="es-NI"/>
        </w:rPr>
        <w:t>der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a métodos de PF</w:t>
      </w:r>
      <w:r w:rsidR="006934E9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A31CC2">
        <w:rPr>
          <w:rStyle w:val="FootnoteReference"/>
          <w:rFonts w:ascii="Times New Roman" w:hAnsi="Times New Roman" w:cs="Times New Roman"/>
          <w:sz w:val="24"/>
          <w:szCs w:val="24"/>
        </w:rPr>
        <w:footnoteReference w:id="17"/>
      </w:r>
      <w:r w:rsidR="0021077F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 </w:t>
      </w:r>
    </w:p>
    <w:p w14:paraId="15ECC76F" w14:textId="77777777" w:rsidR="0021077F" w:rsidRPr="0021077F" w:rsidRDefault="00081098" w:rsidP="0021077F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Gráfico</w:t>
      </w:r>
      <w:r w:rsidR="00413FCF">
        <w:rPr>
          <w:rFonts w:ascii="Times New Roman" w:hAnsi="Times New Roman" w:cs="Times New Roman"/>
          <w:b/>
          <w:i/>
          <w:sz w:val="20"/>
          <w:szCs w:val="20"/>
        </w:rPr>
        <w:t xml:space="preserve"> 3</w:t>
      </w:r>
    </w:p>
    <w:p w14:paraId="0A37501D" w14:textId="77777777" w:rsidR="0021077F" w:rsidRDefault="00A31CC2" w:rsidP="002107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35879B5" wp14:editId="20E1F1BA">
            <wp:extent cx="5826642" cy="2987749"/>
            <wp:effectExtent l="0" t="0" r="3175" b="317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0AB16D4" w14:textId="341DA05F" w:rsidR="0021077F" w:rsidRPr="008F3A44" w:rsidRDefault="003411B4" w:rsidP="0021077F">
      <w:pPr>
        <w:jc w:val="center"/>
        <w:rPr>
          <w:rFonts w:ascii="Times New Roman" w:hAnsi="Times New Roman" w:cs="Times New Roman"/>
          <w:sz w:val="20"/>
          <w:szCs w:val="20"/>
          <w:lang w:val="es-NI"/>
        </w:rPr>
      </w:pPr>
      <w:r>
        <w:rPr>
          <w:rFonts w:ascii="Times New Roman" w:hAnsi="Times New Roman" w:cs="Times New Roman"/>
          <w:sz w:val="20"/>
          <w:szCs w:val="20"/>
          <w:lang w:val="es-NI"/>
        </w:rPr>
        <w:t>Fuente</w:t>
      </w:r>
      <w:r w:rsidR="0021077F" w:rsidRPr="008F3A44">
        <w:rPr>
          <w:rFonts w:ascii="Times New Roman" w:hAnsi="Times New Roman" w:cs="Times New Roman"/>
          <w:sz w:val="20"/>
          <w:szCs w:val="20"/>
          <w:lang w:val="es-NI"/>
        </w:rPr>
        <w:t xml:space="preserve">: </w:t>
      </w:r>
      <w:r w:rsidR="00991222">
        <w:rPr>
          <w:rFonts w:ascii="Times New Roman" w:hAnsi="Times New Roman" w:cs="Times New Roman"/>
          <w:sz w:val="20"/>
          <w:szCs w:val="20"/>
          <w:lang w:val="es-NI"/>
        </w:rPr>
        <w:t>ENDESA</w:t>
      </w:r>
      <w:r w:rsidR="00991222" w:rsidRPr="008F3A44">
        <w:rPr>
          <w:rFonts w:ascii="Times New Roman" w:hAnsi="Times New Roman" w:cs="Times New Roman"/>
          <w:sz w:val="20"/>
          <w:szCs w:val="20"/>
          <w:lang w:val="es-NI"/>
        </w:rPr>
        <w:t xml:space="preserve"> </w:t>
      </w:r>
      <w:r w:rsidR="0021077F" w:rsidRPr="008F3A44">
        <w:rPr>
          <w:rFonts w:ascii="Times New Roman" w:hAnsi="Times New Roman" w:cs="Times New Roman"/>
          <w:sz w:val="20"/>
          <w:szCs w:val="20"/>
          <w:lang w:val="es-NI"/>
        </w:rPr>
        <w:t>Ken</w:t>
      </w:r>
      <w:r>
        <w:rPr>
          <w:rFonts w:ascii="Times New Roman" w:hAnsi="Times New Roman" w:cs="Times New Roman"/>
          <w:sz w:val="20"/>
          <w:szCs w:val="20"/>
          <w:lang w:val="es-NI"/>
        </w:rPr>
        <w:t>i</w:t>
      </w:r>
      <w:r w:rsidR="0021077F" w:rsidRPr="008F3A44">
        <w:rPr>
          <w:rFonts w:ascii="Times New Roman" w:hAnsi="Times New Roman" w:cs="Times New Roman"/>
          <w:sz w:val="20"/>
          <w:szCs w:val="20"/>
          <w:lang w:val="es-NI"/>
        </w:rPr>
        <w:t>a 5.2C</w:t>
      </w:r>
    </w:p>
    <w:p w14:paraId="12670174" w14:textId="160AD3F0" w:rsidR="005373A7" w:rsidRPr="00081098" w:rsidRDefault="00081098" w:rsidP="00081098">
      <w:pPr>
        <w:jc w:val="both"/>
        <w:rPr>
          <w:rFonts w:ascii="Times New Roman" w:hAnsi="Times New Roman" w:cs="Times New Roman"/>
          <w:sz w:val="24"/>
          <w:szCs w:val="24"/>
          <w:lang w:val="es-NI"/>
        </w:rPr>
      </w:pPr>
      <w:r w:rsidRPr="00081098">
        <w:rPr>
          <w:rFonts w:ascii="Times New Roman" w:hAnsi="Times New Roman" w:cs="Times New Roman"/>
          <w:sz w:val="24"/>
          <w:szCs w:val="24"/>
          <w:lang w:val="es-NI"/>
        </w:rPr>
        <w:t>Además</w:t>
      </w:r>
      <w:r w:rsidR="00300F84">
        <w:rPr>
          <w:rFonts w:ascii="Times New Roman" w:hAnsi="Times New Roman" w:cs="Times New Roman"/>
          <w:sz w:val="24"/>
          <w:szCs w:val="24"/>
          <w:lang w:val="es-NI"/>
        </w:rPr>
        <w:t xml:space="preserve"> de</w:t>
      </w:r>
      <w:r w:rsidR="00BE2096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0733A8">
        <w:rPr>
          <w:rFonts w:ascii="Times New Roman" w:hAnsi="Times New Roman" w:cs="Times New Roman"/>
          <w:sz w:val="24"/>
          <w:szCs w:val="24"/>
          <w:lang w:val="es-NI"/>
        </w:rPr>
        <w:t>presentar</w:t>
      </w:r>
      <w:r w:rsidR="00BE2096">
        <w:rPr>
          <w:rFonts w:ascii="Times New Roman" w:hAnsi="Times New Roman" w:cs="Times New Roman"/>
          <w:sz w:val="24"/>
          <w:szCs w:val="24"/>
          <w:lang w:val="es-NI"/>
        </w:rPr>
        <w:t xml:space="preserve"> una tasa </w:t>
      </w:r>
      <w:r w:rsidR="00646BE9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fecundidad </w:t>
      </w:r>
      <w:r w:rsidR="00646BE9">
        <w:rPr>
          <w:rFonts w:ascii="Times New Roman" w:hAnsi="Times New Roman" w:cs="Times New Roman"/>
          <w:sz w:val="24"/>
          <w:szCs w:val="24"/>
          <w:lang w:val="es-NI"/>
        </w:rPr>
        <w:t>más alta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y </w:t>
      </w:r>
      <w:r w:rsidR="006A2CA3">
        <w:rPr>
          <w:rFonts w:ascii="Times New Roman" w:hAnsi="Times New Roman" w:cs="Times New Roman"/>
          <w:sz w:val="24"/>
          <w:szCs w:val="24"/>
          <w:lang w:val="es-NI"/>
        </w:rPr>
        <w:t xml:space="preserve">una </w:t>
      </w:r>
      <w:r w:rsidR="00B80229">
        <w:rPr>
          <w:rFonts w:ascii="Times New Roman" w:hAnsi="Times New Roman" w:cs="Times New Roman"/>
          <w:sz w:val="24"/>
          <w:szCs w:val="24"/>
          <w:lang w:val="es-NI"/>
        </w:rPr>
        <w:t xml:space="preserve">tasa </w:t>
      </w:r>
      <w:r w:rsidR="00226D3F">
        <w:rPr>
          <w:rFonts w:ascii="Times New Roman" w:hAnsi="Times New Roman" w:cs="Times New Roman"/>
          <w:sz w:val="24"/>
          <w:szCs w:val="24"/>
          <w:lang w:val="es-NI"/>
        </w:rPr>
        <w:t xml:space="preserve">más baja </w:t>
      </w:r>
      <w:r w:rsidR="00B80229">
        <w:rPr>
          <w:rFonts w:ascii="Times New Roman" w:hAnsi="Times New Roman" w:cs="Times New Roman"/>
          <w:sz w:val="24"/>
          <w:szCs w:val="24"/>
          <w:lang w:val="es-NI"/>
        </w:rPr>
        <w:t>de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uso de anticonceptivos, la región nor</w:t>
      </w:r>
      <w:r w:rsidR="00833137">
        <w:rPr>
          <w:rFonts w:ascii="Times New Roman" w:hAnsi="Times New Roman" w:cs="Times New Roman"/>
          <w:sz w:val="24"/>
          <w:szCs w:val="24"/>
          <w:lang w:val="es-NI"/>
        </w:rPr>
        <w:t>oriental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también experimenta </w:t>
      </w:r>
      <w:r w:rsidR="00BE283B">
        <w:rPr>
          <w:rFonts w:ascii="Times New Roman" w:hAnsi="Times New Roman" w:cs="Times New Roman"/>
          <w:sz w:val="24"/>
          <w:szCs w:val="24"/>
          <w:lang w:val="es-NI"/>
        </w:rPr>
        <w:t xml:space="preserve">los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niveles </w:t>
      </w:r>
      <w:r w:rsidR="00AC3DCF">
        <w:rPr>
          <w:rFonts w:ascii="Times New Roman" w:hAnsi="Times New Roman" w:cs="Times New Roman"/>
          <w:sz w:val="24"/>
          <w:szCs w:val="24"/>
          <w:lang w:val="es-NI"/>
        </w:rPr>
        <w:t xml:space="preserve">más </w:t>
      </w:r>
      <w:r w:rsidR="00AC3DCF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bajos </w:t>
      </w:r>
      <w:r w:rsidR="00BE283B">
        <w:rPr>
          <w:rFonts w:ascii="Times New Roman" w:hAnsi="Times New Roman" w:cs="Times New Roman"/>
          <w:sz w:val="24"/>
          <w:szCs w:val="24"/>
          <w:lang w:val="es-NI"/>
        </w:rPr>
        <w:t xml:space="preserve">en materia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de salud materna, particularmente </w:t>
      </w:r>
      <w:r w:rsidR="004A455D">
        <w:rPr>
          <w:rFonts w:ascii="Times New Roman" w:hAnsi="Times New Roman" w:cs="Times New Roman"/>
          <w:sz w:val="24"/>
          <w:szCs w:val="24"/>
          <w:lang w:val="es-NI"/>
        </w:rPr>
        <w:t>en lo relativo a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los proveedores calificados </w:t>
      </w:r>
      <w:r w:rsidR="00A54E0C">
        <w:rPr>
          <w:rFonts w:ascii="Times New Roman" w:hAnsi="Times New Roman" w:cs="Times New Roman"/>
          <w:sz w:val="24"/>
          <w:szCs w:val="24"/>
          <w:lang w:val="es-NI"/>
        </w:rPr>
        <w:t>en parto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y </w:t>
      </w:r>
      <w:r w:rsidR="00A54E0C">
        <w:rPr>
          <w:rFonts w:ascii="Times New Roman" w:hAnsi="Times New Roman" w:cs="Times New Roman"/>
          <w:sz w:val="24"/>
          <w:szCs w:val="24"/>
          <w:lang w:val="es-NI"/>
        </w:rPr>
        <w:t xml:space="preserve">atención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prenatal</w:t>
      </w:r>
      <w:r w:rsidR="006934E9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8826E9">
        <w:rPr>
          <w:rStyle w:val="FootnoteReference"/>
          <w:rFonts w:ascii="Times New Roman" w:hAnsi="Times New Roman" w:cs="Times New Roman"/>
          <w:sz w:val="24"/>
          <w:szCs w:val="24"/>
        </w:rPr>
        <w:footnoteReference w:id="18"/>
      </w:r>
      <w:r w:rsidR="008826E9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A54E0C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Por ejemplo, </w:t>
      </w:r>
      <w:r w:rsidR="009C063F">
        <w:rPr>
          <w:rFonts w:ascii="Times New Roman" w:hAnsi="Times New Roman" w:cs="Times New Roman"/>
          <w:sz w:val="24"/>
          <w:szCs w:val="24"/>
          <w:lang w:val="es-NI"/>
        </w:rPr>
        <w:t>1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de cada </w:t>
      </w:r>
      <w:r w:rsidR="009C063F">
        <w:rPr>
          <w:rFonts w:ascii="Times New Roman" w:hAnsi="Times New Roman" w:cs="Times New Roman"/>
          <w:sz w:val="24"/>
          <w:szCs w:val="24"/>
          <w:lang w:val="es-NI"/>
        </w:rPr>
        <w:t>4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m</w:t>
      </w:r>
      <w:r>
        <w:rPr>
          <w:rFonts w:ascii="Times New Roman" w:hAnsi="Times New Roman" w:cs="Times New Roman"/>
          <w:sz w:val="24"/>
          <w:szCs w:val="24"/>
          <w:lang w:val="es-NI"/>
        </w:rPr>
        <w:t>ujeres no recibe A</w:t>
      </w:r>
      <w:r w:rsidR="00624021">
        <w:rPr>
          <w:rFonts w:ascii="Times New Roman" w:hAnsi="Times New Roman" w:cs="Times New Roman"/>
          <w:sz w:val="24"/>
          <w:szCs w:val="24"/>
          <w:lang w:val="es-NI"/>
        </w:rPr>
        <w:t>P</w:t>
      </w:r>
      <w:r>
        <w:rPr>
          <w:rFonts w:ascii="Times New Roman" w:hAnsi="Times New Roman" w:cs="Times New Roman"/>
          <w:sz w:val="24"/>
          <w:szCs w:val="24"/>
          <w:lang w:val="es-NI"/>
        </w:rPr>
        <w:t>N (ver gráfico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4).</w:t>
      </w:r>
      <w:r w:rsidR="00AC3DCF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</w:p>
    <w:p w14:paraId="5DAB6C7B" w14:textId="77777777" w:rsidR="00012436" w:rsidRPr="00081098" w:rsidRDefault="00012436" w:rsidP="005373A7">
      <w:pPr>
        <w:jc w:val="center"/>
        <w:rPr>
          <w:rFonts w:ascii="Times New Roman" w:hAnsi="Times New Roman" w:cs="Times New Roman"/>
          <w:b/>
          <w:i/>
          <w:sz w:val="20"/>
          <w:szCs w:val="20"/>
          <w:lang w:val="es-NI"/>
        </w:rPr>
      </w:pPr>
    </w:p>
    <w:p w14:paraId="02EB378F" w14:textId="77777777" w:rsidR="006934E9" w:rsidRPr="00081098" w:rsidRDefault="006934E9">
      <w:pPr>
        <w:rPr>
          <w:rFonts w:ascii="Times New Roman" w:hAnsi="Times New Roman" w:cs="Times New Roman"/>
          <w:b/>
          <w:i/>
          <w:sz w:val="20"/>
          <w:szCs w:val="20"/>
          <w:lang w:val="es-NI"/>
        </w:rPr>
      </w:pPr>
      <w:r w:rsidRPr="00081098">
        <w:rPr>
          <w:rFonts w:ascii="Times New Roman" w:hAnsi="Times New Roman" w:cs="Times New Roman"/>
          <w:b/>
          <w:i/>
          <w:sz w:val="20"/>
          <w:szCs w:val="20"/>
          <w:lang w:val="es-NI"/>
        </w:rPr>
        <w:br w:type="page"/>
      </w:r>
    </w:p>
    <w:p w14:paraId="6F19827E" w14:textId="77777777" w:rsidR="00081098" w:rsidRPr="005373A7" w:rsidRDefault="00081098" w:rsidP="00081098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Gráfico </w:t>
      </w:r>
      <w:r w:rsidR="002A4EF1">
        <w:rPr>
          <w:rFonts w:ascii="Times New Roman" w:hAnsi="Times New Roman" w:cs="Times New Roman"/>
          <w:b/>
          <w:i/>
          <w:sz w:val="20"/>
          <w:szCs w:val="20"/>
        </w:rPr>
        <w:t>4</w:t>
      </w:r>
    </w:p>
    <w:p w14:paraId="6A05A809" w14:textId="77777777" w:rsidR="005373A7" w:rsidRDefault="005373A7" w:rsidP="005373A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3041B84" wp14:editId="48F17023">
            <wp:extent cx="5969977" cy="2839671"/>
            <wp:effectExtent l="0" t="0" r="12065" b="1841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4411B83" w14:textId="2CF31C4C" w:rsidR="005373A7" w:rsidRPr="00081098" w:rsidRDefault="003411B4" w:rsidP="005373A7">
      <w:pPr>
        <w:jc w:val="center"/>
        <w:rPr>
          <w:rFonts w:ascii="Times New Roman" w:hAnsi="Times New Roman" w:cs="Times New Roman"/>
          <w:sz w:val="20"/>
          <w:szCs w:val="20"/>
          <w:lang w:val="es-NI"/>
        </w:rPr>
      </w:pPr>
      <w:r>
        <w:rPr>
          <w:rFonts w:ascii="Times New Roman" w:hAnsi="Times New Roman" w:cs="Times New Roman"/>
          <w:sz w:val="20"/>
          <w:szCs w:val="20"/>
          <w:lang w:val="es-NI"/>
        </w:rPr>
        <w:t>Fuente</w:t>
      </w:r>
      <w:r w:rsidR="005373A7" w:rsidRPr="00081098">
        <w:rPr>
          <w:rFonts w:ascii="Times New Roman" w:hAnsi="Times New Roman" w:cs="Times New Roman"/>
          <w:sz w:val="20"/>
          <w:szCs w:val="20"/>
          <w:lang w:val="es-NI"/>
        </w:rPr>
        <w:t xml:space="preserve">: </w:t>
      </w:r>
      <w:r w:rsidR="00991222">
        <w:rPr>
          <w:rFonts w:ascii="Times New Roman" w:hAnsi="Times New Roman" w:cs="Times New Roman"/>
          <w:sz w:val="20"/>
          <w:szCs w:val="20"/>
          <w:lang w:val="es-NI"/>
        </w:rPr>
        <w:t xml:space="preserve">ENDESA </w:t>
      </w:r>
      <w:r w:rsidR="005373A7" w:rsidRPr="00081098">
        <w:rPr>
          <w:rFonts w:ascii="Times New Roman" w:hAnsi="Times New Roman" w:cs="Times New Roman"/>
          <w:sz w:val="20"/>
          <w:szCs w:val="20"/>
          <w:lang w:val="es-NI"/>
        </w:rPr>
        <w:t>Ken</w:t>
      </w:r>
      <w:r>
        <w:rPr>
          <w:rFonts w:ascii="Times New Roman" w:hAnsi="Times New Roman" w:cs="Times New Roman"/>
          <w:sz w:val="20"/>
          <w:szCs w:val="20"/>
          <w:lang w:val="es-NI"/>
        </w:rPr>
        <w:t>i</w:t>
      </w:r>
      <w:r w:rsidR="005373A7" w:rsidRPr="00081098">
        <w:rPr>
          <w:rFonts w:ascii="Times New Roman" w:hAnsi="Times New Roman" w:cs="Times New Roman"/>
          <w:sz w:val="20"/>
          <w:szCs w:val="20"/>
          <w:lang w:val="es-NI"/>
        </w:rPr>
        <w:t>a 9.1.C</w:t>
      </w:r>
    </w:p>
    <w:p w14:paraId="30B6EEC9" w14:textId="6E30D20F" w:rsidR="005373A7" w:rsidRPr="00081098" w:rsidRDefault="00081098" w:rsidP="005373A7">
      <w:pPr>
        <w:rPr>
          <w:rFonts w:ascii="Times New Roman" w:hAnsi="Times New Roman" w:cs="Times New Roman"/>
          <w:sz w:val="24"/>
          <w:szCs w:val="24"/>
          <w:lang w:val="es-NI"/>
        </w:rPr>
      </w:pPr>
      <w:r w:rsidRPr="00081098">
        <w:rPr>
          <w:rFonts w:ascii="Times New Roman" w:hAnsi="Times New Roman" w:cs="Times New Roman"/>
          <w:sz w:val="24"/>
          <w:szCs w:val="24"/>
          <w:lang w:val="es-NI"/>
        </w:rPr>
        <w:t>Además, sólo el 65</w:t>
      </w:r>
      <w:r w:rsidR="00052927">
        <w:rPr>
          <w:rFonts w:ascii="Times New Roman" w:hAnsi="Times New Roman" w:cs="Times New Roman"/>
          <w:sz w:val="24"/>
          <w:szCs w:val="24"/>
          <w:lang w:val="es-NI"/>
        </w:rPr>
        <w:t>%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de las mujeres </w:t>
      </w:r>
      <w:r w:rsidR="00BF7569">
        <w:rPr>
          <w:rFonts w:ascii="Times New Roman" w:hAnsi="Times New Roman" w:cs="Times New Roman"/>
          <w:sz w:val="24"/>
          <w:szCs w:val="24"/>
          <w:lang w:val="es-NI"/>
        </w:rPr>
        <w:t xml:space="preserve">en el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noreste reciben A</w:t>
      </w:r>
      <w:r w:rsidR="00BF7569">
        <w:rPr>
          <w:rFonts w:ascii="Times New Roman" w:hAnsi="Times New Roman" w:cs="Times New Roman"/>
          <w:sz w:val="24"/>
          <w:szCs w:val="24"/>
          <w:lang w:val="es-NI"/>
        </w:rPr>
        <w:t>P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N de un proveedor calificado, en comparación con el promedio nacional de</w:t>
      </w:r>
      <w:r w:rsidR="00BF7569">
        <w:rPr>
          <w:rFonts w:ascii="Times New Roman" w:hAnsi="Times New Roman" w:cs="Times New Roman"/>
          <w:sz w:val="24"/>
          <w:szCs w:val="24"/>
          <w:lang w:val="es-NI"/>
        </w:rPr>
        <w:t>l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95.5</w:t>
      </w:r>
      <w:r w:rsidR="00052927">
        <w:rPr>
          <w:rFonts w:ascii="Times New Roman" w:hAnsi="Times New Roman" w:cs="Times New Roman"/>
          <w:sz w:val="24"/>
          <w:szCs w:val="24"/>
          <w:lang w:val="es-NI"/>
        </w:rPr>
        <w:t>%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.  En general, las mujeres en el noreste reciben menos información sobre salud materna, </w:t>
      </w:r>
      <w:r w:rsidR="000A471C">
        <w:rPr>
          <w:rFonts w:ascii="Times New Roman" w:hAnsi="Times New Roman" w:cs="Times New Roman"/>
          <w:sz w:val="24"/>
          <w:szCs w:val="24"/>
          <w:lang w:val="es-NI"/>
        </w:rPr>
        <w:t xml:space="preserve">toman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menos suplementos y tienen los niveles más bajos de atención de la A</w:t>
      </w:r>
      <w:r w:rsidR="00D11914">
        <w:rPr>
          <w:rFonts w:ascii="Times New Roman" w:hAnsi="Times New Roman" w:cs="Times New Roman"/>
          <w:sz w:val="24"/>
          <w:szCs w:val="24"/>
          <w:lang w:val="es-NI"/>
        </w:rPr>
        <w:t>P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N </w:t>
      </w:r>
      <w:r w:rsidR="00D11914">
        <w:rPr>
          <w:rFonts w:ascii="Times New Roman" w:hAnsi="Times New Roman" w:cs="Times New Roman"/>
          <w:sz w:val="24"/>
          <w:szCs w:val="24"/>
          <w:lang w:val="es-NI"/>
        </w:rPr>
        <w:t xml:space="preserve">en comparación con </w:t>
      </w:r>
      <w:r w:rsidRPr="00081098">
        <w:rPr>
          <w:rFonts w:ascii="Times New Roman" w:hAnsi="Times New Roman" w:cs="Times New Roman"/>
          <w:sz w:val="24"/>
          <w:szCs w:val="24"/>
          <w:lang w:val="es-NI"/>
        </w:rPr>
        <w:t>el resto de la población</w:t>
      </w:r>
      <w:r w:rsidR="005373A7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</w:p>
    <w:p w14:paraId="3825B2EE" w14:textId="2493DF2E" w:rsidR="004E29C8" w:rsidRPr="00081098" w:rsidRDefault="00AE6D6E" w:rsidP="00081098">
      <w:pPr>
        <w:jc w:val="both"/>
        <w:rPr>
          <w:rFonts w:ascii="Times New Roman" w:hAnsi="Times New Roman" w:cs="Times New Roman"/>
          <w:sz w:val="24"/>
          <w:szCs w:val="24"/>
          <w:lang w:val="es-NI"/>
        </w:rPr>
      </w:pPr>
      <w:r>
        <w:rPr>
          <w:rFonts w:ascii="Times New Roman" w:hAnsi="Times New Roman" w:cs="Times New Roman"/>
          <w:sz w:val="24"/>
          <w:szCs w:val="24"/>
          <w:lang w:val="es-NI"/>
        </w:rPr>
        <w:t>Los b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ajos niveles </w:t>
      </w:r>
      <w:r w:rsidR="009F043A">
        <w:rPr>
          <w:rFonts w:ascii="Times New Roman" w:hAnsi="Times New Roman" w:cs="Times New Roman"/>
          <w:sz w:val="24"/>
          <w:szCs w:val="24"/>
          <w:lang w:val="es-NI"/>
        </w:rPr>
        <w:t>en el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uso </w:t>
      </w:r>
      <w:r w:rsidR="00D11914">
        <w:rPr>
          <w:rFonts w:ascii="Times New Roman" w:hAnsi="Times New Roman" w:cs="Times New Roman"/>
          <w:sz w:val="24"/>
          <w:szCs w:val="24"/>
          <w:lang w:val="es-NI"/>
        </w:rPr>
        <w:t xml:space="preserve">de </w:t>
      </w:r>
      <w:r>
        <w:rPr>
          <w:rFonts w:ascii="Times New Roman" w:hAnsi="Times New Roman" w:cs="Times New Roman"/>
          <w:sz w:val="24"/>
          <w:szCs w:val="24"/>
          <w:lang w:val="es-NI"/>
        </w:rPr>
        <w:t xml:space="preserve">los </w:t>
      </w:r>
      <w:r w:rsidR="00D11914">
        <w:rPr>
          <w:rFonts w:ascii="Times New Roman" w:hAnsi="Times New Roman" w:cs="Times New Roman"/>
          <w:sz w:val="24"/>
          <w:szCs w:val="24"/>
          <w:lang w:val="es-NI"/>
        </w:rPr>
        <w:t xml:space="preserve">servicios 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salud no se limita a las mujeres en edad reproductiva. </w:t>
      </w:r>
      <w:r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>La región nor</w:t>
      </w:r>
      <w:r w:rsidR="000708A8">
        <w:rPr>
          <w:rFonts w:ascii="Times New Roman" w:hAnsi="Times New Roman" w:cs="Times New Roman"/>
          <w:sz w:val="24"/>
          <w:szCs w:val="24"/>
          <w:lang w:val="es-NI"/>
        </w:rPr>
        <w:t>oriental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también </w:t>
      </w:r>
      <w:r w:rsidR="006C3986">
        <w:rPr>
          <w:rFonts w:ascii="Times New Roman" w:hAnsi="Times New Roman" w:cs="Times New Roman"/>
          <w:sz w:val="24"/>
          <w:szCs w:val="24"/>
          <w:lang w:val="es-NI"/>
        </w:rPr>
        <w:t xml:space="preserve">presenta 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consistentemente </w:t>
      </w:r>
      <w:r w:rsidR="006C3986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niveles 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más bajos de vacunación infantil </w:t>
      </w:r>
      <w:r w:rsidR="00454515">
        <w:rPr>
          <w:rFonts w:ascii="Times New Roman" w:hAnsi="Times New Roman" w:cs="Times New Roman"/>
          <w:sz w:val="24"/>
          <w:szCs w:val="24"/>
          <w:lang w:val="es-NI"/>
        </w:rPr>
        <w:t xml:space="preserve">en comparación con 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el resto del país. Esto significa que los niños </w:t>
      </w:r>
      <w:r w:rsidR="00454515">
        <w:rPr>
          <w:rFonts w:ascii="Times New Roman" w:hAnsi="Times New Roman" w:cs="Times New Roman"/>
          <w:sz w:val="24"/>
          <w:szCs w:val="24"/>
          <w:lang w:val="es-NI"/>
        </w:rPr>
        <w:t xml:space="preserve">están 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más propensos a </w:t>
      </w:r>
      <w:r w:rsidR="00387DAE">
        <w:rPr>
          <w:rFonts w:ascii="Times New Roman" w:hAnsi="Times New Roman" w:cs="Times New Roman"/>
          <w:sz w:val="24"/>
          <w:szCs w:val="24"/>
          <w:lang w:val="es-NI"/>
        </w:rPr>
        <w:t>contraer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enfermedades graves como la polio, neumonía y hepatitis. </w:t>
      </w:r>
      <w:r w:rsidR="009A3F1E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La siguiente tabla </w:t>
      </w:r>
      <w:r w:rsidR="009A3F1E">
        <w:rPr>
          <w:rFonts w:ascii="Times New Roman" w:hAnsi="Times New Roman" w:cs="Times New Roman"/>
          <w:sz w:val="24"/>
          <w:szCs w:val="24"/>
          <w:lang w:val="es-NI"/>
        </w:rPr>
        <w:t>nos de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muestra la diferencia </w:t>
      </w:r>
      <w:r w:rsidR="00CE7C4A">
        <w:rPr>
          <w:rFonts w:ascii="Times New Roman" w:hAnsi="Times New Roman" w:cs="Times New Roman"/>
          <w:sz w:val="24"/>
          <w:szCs w:val="24"/>
          <w:lang w:val="es-NI"/>
        </w:rPr>
        <w:t xml:space="preserve">en el 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nivel de </w:t>
      </w:r>
      <w:r w:rsidR="00CE7C4A">
        <w:rPr>
          <w:rFonts w:ascii="Times New Roman" w:hAnsi="Times New Roman" w:cs="Times New Roman"/>
          <w:sz w:val="24"/>
          <w:szCs w:val="24"/>
          <w:lang w:val="es-NI"/>
        </w:rPr>
        <w:t xml:space="preserve">vacunación </w:t>
      </w:r>
      <w:r w:rsidR="00E93939">
        <w:rPr>
          <w:rFonts w:ascii="Times New Roman" w:hAnsi="Times New Roman" w:cs="Times New Roman"/>
          <w:sz w:val="24"/>
          <w:szCs w:val="24"/>
          <w:lang w:val="es-NI"/>
        </w:rPr>
        <w:t>en</w:t>
      </w:r>
      <w:r w:rsidR="00BF635A">
        <w:rPr>
          <w:rFonts w:ascii="Times New Roman" w:hAnsi="Times New Roman" w:cs="Times New Roman"/>
          <w:sz w:val="24"/>
          <w:szCs w:val="24"/>
          <w:lang w:val="es-NI"/>
        </w:rPr>
        <w:t>tre</w:t>
      </w:r>
      <w:r w:rsidR="00E93939">
        <w:rPr>
          <w:rFonts w:ascii="Times New Roman" w:hAnsi="Times New Roman" w:cs="Times New Roman"/>
          <w:sz w:val="24"/>
          <w:szCs w:val="24"/>
          <w:lang w:val="es-NI"/>
        </w:rPr>
        <w:t xml:space="preserve"> la 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>región nor</w:t>
      </w:r>
      <w:r w:rsidR="00BF635A">
        <w:rPr>
          <w:rFonts w:ascii="Times New Roman" w:hAnsi="Times New Roman" w:cs="Times New Roman"/>
          <w:sz w:val="24"/>
          <w:szCs w:val="24"/>
          <w:lang w:val="es-NI"/>
        </w:rPr>
        <w:t>oriental</w:t>
      </w:r>
      <w:r w:rsidR="00081098" w:rsidRPr="00081098">
        <w:rPr>
          <w:rFonts w:ascii="Times New Roman" w:hAnsi="Times New Roman" w:cs="Times New Roman"/>
          <w:sz w:val="24"/>
          <w:szCs w:val="24"/>
          <w:lang w:val="es-NI"/>
        </w:rPr>
        <w:t xml:space="preserve"> y el resto del país</w:t>
      </w:r>
      <w:r w:rsidR="003C2A6B" w:rsidRPr="00081098">
        <w:rPr>
          <w:rFonts w:ascii="Times New Roman" w:hAnsi="Times New Roman" w:cs="Times New Roman"/>
          <w:sz w:val="24"/>
          <w:szCs w:val="24"/>
          <w:lang w:val="es-NI"/>
        </w:rPr>
        <w:t>.</w:t>
      </w:r>
    </w:p>
    <w:p w14:paraId="20B0D5AB" w14:textId="77777777" w:rsidR="004E29C8" w:rsidRPr="00646BE9" w:rsidRDefault="00081098" w:rsidP="004E29C8">
      <w:pPr>
        <w:jc w:val="center"/>
        <w:rPr>
          <w:rFonts w:ascii="Times New Roman" w:hAnsi="Times New Roman" w:cs="Times New Roman"/>
          <w:b/>
          <w:sz w:val="24"/>
          <w:szCs w:val="20"/>
          <w:lang w:val="es-NI"/>
        </w:rPr>
      </w:pPr>
      <w:r w:rsidRPr="00646BE9">
        <w:rPr>
          <w:rFonts w:ascii="Times New Roman" w:hAnsi="Times New Roman" w:cs="Times New Roman"/>
          <w:b/>
          <w:sz w:val="24"/>
          <w:szCs w:val="20"/>
          <w:lang w:val="es-NI"/>
        </w:rPr>
        <w:t>Tabla 1: Tasa de vacunación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0"/>
        <w:gridCol w:w="2448"/>
        <w:gridCol w:w="2241"/>
        <w:gridCol w:w="2241"/>
      </w:tblGrid>
      <w:tr w:rsidR="004E29C8" w:rsidRPr="00646BE9" w14:paraId="2A3573EB" w14:textId="77777777" w:rsidTr="1FDC358A">
        <w:tc>
          <w:tcPr>
            <w:tcW w:w="9350" w:type="dxa"/>
            <w:gridSpan w:val="4"/>
          </w:tcPr>
          <w:p w14:paraId="5CCB0743" w14:textId="2B945239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>Vac</w:t>
            </w:r>
            <w:r w:rsidR="000D62B2"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 xml:space="preserve">unas por </w:t>
            </w:r>
            <w:r w:rsidR="00AB4B88"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 xml:space="preserve">Lugar de </w:t>
            </w:r>
            <w:r w:rsidR="00016CED"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>Procedencia</w:t>
            </w:r>
          </w:p>
        </w:tc>
      </w:tr>
      <w:tr w:rsidR="004E29C8" w:rsidRPr="00646BE9" w14:paraId="4BACD12F" w14:textId="77777777" w:rsidTr="1FDC358A">
        <w:tc>
          <w:tcPr>
            <w:tcW w:w="2420" w:type="dxa"/>
          </w:tcPr>
          <w:p w14:paraId="2993C3E0" w14:textId="14420CAE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>Vac</w:t>
            </w:r>
            <w:r w:rsidR="003411B4"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>una</w:t>
            </w:r>
          </w:p>
        </w:tc>
        <w:tc>
          <w:tcPr>
            <w:tcW w:w="2448" w:type="dxa"/>
          </w:tcPr>
          <w:p w14:paraId="11E81841" w14:textId="071EB68D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>Nor</w:t>
            </w:r>
            <w:r w:rsidR="00E93939"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>este</w:t>
            </w:r>
          </w:p>
        </w:tc>
        <w:tc>
          <w:tcPr>
            <w:tcW w:w="2241" w:type="dxa"/>
          </w:tcPr>
          <w:p w14:paraId="1628F5C1" w14:textId="0A2D1900" w:rsidR="004E29C8" w:rsidRPr="00646BE9" w:rsidRDefault="003411B4" w:rsidP="004E2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 xml:space="preserve">Promedio </w:t>
            </w:r>
            <w:r w:rsidR="004E29C8"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>Na</w:t>
            </w:r>
            <w:r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>c</w:t>
            </w:r>
            <w:r w:rsidR="004E29C8"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 xml:space="preserve">ional </w:t>
            </w:r>
          </w:p>
        </w:tc>
        <w:tc>
          <w:tcPr>
            <w:tcW w:w="2241" w:type="dxa"/>
          </w:tcPr>
          <w:p w14:paraId="7A38652F" w14:textId="5F4002FF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>Diferenc</w:t>
            </w:r>
            <w:r w:rsidR="003411B4" w:rsidRPr="00646BE9">
              <w:rPr>
                <w:rFonts w:ascii="Times New Roman" w:hAnsi="Times New Roman" w:cs="Times New Roman"/>
                <w:b/>
                <w:sz w:val="24"/>
                <w:szCs w:val="24"/>
                <w:lang w:val="es-NI"/>
              </w:rPr>
              <w:t>ia</w:t>
            </w:r>
          </w:p>
        </w:tc>
      </w:tr>
      <w:tr w:rsidR="004E29C8" w:rsidRPr="00646BE9" w14:paraId="170EB81B" w14:textId="77777777" w:rsidTr="1FDC358A">
        <w:tc>
          <w:tcPr>
            <w:tcW w:w="2420" w:type="dxa"/>
          </w:tcPr>
          <w:p w14:paraId="77E6836F" w14:textId="77777777" w:rsidR="004E29C8" w:rsidRPr="00646BE9" w:rsidRDefault="004E29C8" w:rsidP="004E29C8">
            <w:pPr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BCG</w:t>
            </w:r>
          </w:p>
        </w:tc>
        <w:tc>
          <w:tcPr>
            <w:tcW w:w="2448" w:type="dxa"/>
          </w:tcPr>
          <w:p w14:paraId="030DE6A2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83.4</w:t>
            </w:r>
          </w:p>
        </w:tc>
        <w:tc>
          <w:tcPr>
            <w:tcW w:w="2241" w:type="dxa"/>
          </w:tcPr>
          <w:p w14:paraId="360A3F4D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96.7</w:t>
            </w:r>
          </w:p>
        </w:tc>
        <w:tc>
          <w:tcPr>
            <w:tcW w:w="2241" w:type="dxa"/>
          </w:tcPr>
          <w:p w14:paraId="6294E9F0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-13.3</w:t>
            </w:r>
          </w:p>
        </w:tc>
      </w:tr>
      <w:tr w:rsidR="004E29C8" w:rsidRPr="00646BE9" w14:paraId="30EBF801" w14:textId="77777777" w:rsidTr="1FDC358A">
        <w:tc>
          <w:tcPr>
            <w:tcW w:w="2420" w:type="dxa"/>
          </w:tcPr>
          <w:p w14:paraId="76A31CDD" w14:textId="709E3E2D" w:rsidR="004E29C8" w:rsidRPr="00646BE9" w:rsidRDefault="00646BE9" w:rsidP="004E29C8">
            <w:pPr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Sarampión</w:t>
            </w:r>
          </w:p>
        </w:tc>
        <w:tc>
          <w:tcPr>
            <w:tcW w:w="2448" w:type="dxa"/>
          </w:tcPr>
          <w:p w14:paraId="4A4D2B06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69.8</w:t>
            </w:r>
          </w:p>
        </w:tc>
        <w:tc>
          <w:tcPr>
            <w:tcW w:w="2241" w:type="dxa"/>
          </w:tcPr>
          <w:p w14:paraId="6863FF88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87.1</w:t>
            </w:r>
          </w:p>
        </w:tc>
        <w:tc>
          <w:tcPr>
            <w:tcW w:w="2241" w:type="dxa"/>
          </w:tcPr>
          <w:p w14:paraId="59298BFF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-7.3</w:t>
            </w:r>
          </w:p>
        </w:tc>
      </w:tr>
      <w:tr w:rsidR="004E29C8" w:rsidRPr="00646BE9" w14:paraId="0B44BD12" w14:textId="77777777" w:rsidTr="1FDC358A">
        <w:tc>
          <w:tcPr>
            <w:tcW w:w="2420" w:type="dxa"/>
          </w:tcPr>
          <w:p w14:paraId="016B7366" w14:textId="77777777" w:rsidR="004E29C8" w:rsidRPr="00646BE9" w:rsidRDefault="004E29C8" w:rsidP="004E29C8">
            <w:pPr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Hepatitis</w:t>
            </w:r>
          </w:p>
        </w:tc>
        <w:tc>
          <w:tcPr>
            <w:tcW w:w="2448" w:type="dxa"/>
          </w:tcPr>
          <w:p w14:paraId="1F09244D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82.6</w:t>
            </w:r>
          </w:p>
        </w:tc>
        <w:tc>
          <w:tcPr>
            <w:tcW w:w="2241" w:type="dxa"/>
          </w:tcPr>
          <w:p w14:paraId="267C8794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94.4</w:t>
            </w:r>
          </w:p>
        </w:tc>
        <w:tc>
          <w:tcPr>
            <w:tcW w:w="2241" w:type="dxa"/>
          </w:tcPr>
          <w:p w14:paraId="02ECFD54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-11.8</w:t>
            </w:r>
          </w:p>
        </w:tc>
      </w:tr>
      <w:tr w:rsidR="004E29C8" w:rsidRPr="00646BE9" w14:paraId="008DAB34" w14:textId="77777777" w:rsidTr="1FDC358A">
        <w:tc>
          <w:tcPr>
            <w:tcW w:w="2420" w:type="dxa"/>
          </w:tcPr>
          <w:p w14:paraId="200EF00C" w14:textId="77777777" w:rsidR="004E29C8" w:rsidRPr="00646BE9" w:rsidRDefault="004E29C8" w:rsidP="004E29C8">
            <w:pPr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Polio</w:t>
            </w:r>
          </w:p>
        </w:tc>
        <w:tc>
          <w:tcPr>
            <w:tcW w:w="2448" w:type="dxa"/>
          </w:tcPr>
          <w:p w14:paraId="4DA84339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71.3</w:t>
            </w:r>
          </w:p>
        </w:tc>
        <w:tc>
          <w:tcPr>
            <w:tcW w:w="2241" w:type="dxa"/>
          </w:tcPr>
          <w:p w14:paraId="11EC286E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87.8</w:t>
            </w:r>
          </w:p>
        </w:tc>
        <w:tc>
          <w:tcPr>
            <w:tcW w:w="2241" w:type="dxa"/>
          </w:tcPr>
          <w:p w14:paraId="44ED32DB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-16.5</w:t>
            </w:r>
          </w:p>
        </w:tc>
      </w:tr>
      <w:tr w:rsidR="004E29C8" w:rsidRPr="00646BE9" w14:paraId="2FAAFBB5" w14:textId="77777777" w:rsidTr="1FDC358A">
        <w:tc>
          <w:tcPr>
            <w:tcW w:w="2420" w:type="dxa"/>
          </w:tcPr>
          <w:p w14:paraId="5B121D7A" w14:textId="551DED71" w:rsidR="004E29C8" w:rsidRPr="00646BE9" w:rsidRDefault="1FDC358A" w:rsidP="1FDC358A">
            <w:pPr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Neumococo</w:t>
            </w:r>
          </w:p>
        </w:tc>
        <w:tc>
          <w:tcPr>
            <w:tcW w:w="2448" w:type="dxa"/>
          </w:tcPr>
          <w:p w14:paraId="4F97496D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80.0</w:t>
            </w:r>
          </w:p>
        </w:tc>
        <w:tc>
          <w:tcPr>
            <w:tcW w:w="2241" w:type="dxa"/>
          </w:tcPr>
          <w:p w14:paraId="1AB6F9BE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89.9</w:t>
            </w:r>
          </w:p>
        </w:tc>
        <w:tc>
          <w:tcPr>
            <w:tcW w:w="2241" w:type="dxa"/>
          </w:tcPr>
          <w:p w14:paraId="00632741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-9.9</w:t>
            </w:r>
          </w:p>
        </w:tc>
      </w:tr>
      <w:tr w:rsidR="004E29C8" w:rsidRPr="00646BE9" w14:paraId="4E5EDA82" w14:textId="77777777" w:rsidTr="1FDC358A">
        <w:tc>
          <w:tcPr>
            <w:tcW w:w="2420" w:type="dxa"/>
          </w:tcPr>
          <w:p w14:paraId="54F2B4D2" w14:textId="00A9BDB7" w:rsidR="004E29C8" w:rsidRPr="00646BE9" w:rsidRDefault="1FDC358A" w:rsidP="1FDC358A">
            <w:pPr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Todas las vacunas</w:t>
            </w:r>
          </w:p>
        </w:tc>
        <w:tc>
          <w:tcPr>
            <w:tcW w:w="2448" w:type="dxa"/>
          </w:tcPr>
          <w:p w14:paraId="2D07D883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51.1</w:t>
            </w:r>
          </w:p>
        </w:tc>
        <w:tc>
          <w:tcPr>
            <w:tcW w:w="2241" w:type="dxa"/>
          </w:tcPr>
          <w:p w14:paraId="4DD0A7F9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74.9</w:t>
            </w:r>
          </w:p>
        </w:tc>
        <w:tc>
          <w:tcPr>
            <w:tcW w:w="2241" w:type="dxa"/>
          </w:tcPr>
          <w:p w14:paraId="05F6B412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-23.8</w:t>
            </w:r>
          </w:p>
        </w:tc>
      </w:tr>
      <w:tr w:rsidR="004E29C8" w:rsidRPr="00646BE9" w14:paraId="6F136C93" w14:textId="77777777" w:rsidTr="1FDC358A">
        <w:tc>
          <w:tcPr>
            <w:tcW w:w="2420" w:type="dxa"/>
          </w:tcPr>
          <w:p w14:paraId="5204CBE9" w14:textId="55759EEE" w:rsidR="004E29C8" w:rsidRPr="00646BE9" w:rsidRDefault="1FDC358A" w:rsidP="1FDC358A">
            <w:pPr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Sin vacunas</w:t>
            </w:r>
          </w:p>
        </w:tc>
        <w:tc>
          <w:tcPr>
            <w:tcW w:w="2448" w:type="dxa"/>
          </w:tcPr>
          <w:p w14:paraId="696F1D09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10.6</w:t>
            </w:r>
          </w:p>
        </w:tc>
        <w:tc>
          <w:tcPr>
            <w:tcW w:w="2241" w:type="dxa"/>
          </w:tcPr>
          <w:p w14:paraId="46D6F5A1" w14:textId="77777777" w:rsidR="004E29C8" w:rsidRPr="00646BE9" w:rsidRDefault="004E29C8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1.6</w:t>
            </w:r>
          </w:p>
        </w:tc>
        <w:tc>
          <w:tcPr>
            <w:tcW w:w="2241" w:type="dxa"/>
          </w:tcPr>
          <w:p w14:paraId="58C29C97" w14:textId="77777777" w:rsidR="004E29C8" w:rsidRPr="00646BE9" w:rsidRDefault="00457562" w:rsidP="004E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NI"/>
              </w:rPr>
            </w:pPr>
            <w:r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-</w:t>
            </w:r>
            <w:r w:rsidR="004E29C8" w:rsidRPr="00646BE9">
              <w:rPr>
                <w:rFonts w:ascii="Times New Roman" w:hAnsi="Times New Roman" w:cs="Times New Roman"/>
                <w:sz w:val="24"/>
                <w:szCs w:val="24"/>
                <w:lang w:val="es-NI"/>
              </w:rPr>
              <w:t>9.0</w:t>
            </w:r>
          </w:p>
        </w:tc>
      </w:tr>
    </w:tbl>
    <w:p w14:paraId="5CCCA285" w14:textId="679C0A82" w:rsidR="00294F5F" w:rsidRDefault="003C6472" w:rsidP="00646B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Fuente</w:t>
      </w:r>
      <w:r w:rsidR="004E29C8">
        <w:rPr>
          <w:rFonts w:ascii="Times New Roman" w:hAnsi="Times New Roman" w:cs="Times New Roman"/>
          <w:sz w:val="20"/>
          <w:szCs w:val="20"/>
        </w:rPr>
        <w:t xml:space="preserve">: </w:t>
      </w:r>
      <w:r w:rsidR="00991222">
        <w:rPr>
          <w:rFonts w:ascii="Times New Roman" w:hAnsi="Times New Roman" w:cs="Times New Roman"/>
          <w:sz w:val="20"/>
          <w:szCs w:val="20"/>
        </w:rPr>
        <w:t xml:space="preserve">ENDESA </w:t>
      </w:r>
      <w:r w:rsidR="004E29C8">
        <w:rPr>
          <w:rFonts w:ascii="Times New Roman" w:hAnsi="Times New Roman" w:cs="Times New Roman"/>
          <w:sz w:val="20"/>
          <w:szCs w:val="20"/>
        </w:rPr>
        <w:t>Ken</w:t>
      </w:r>
      <w:r>
        <w:rPr>
          <w:rFonts w:ascii="Times New Roman" w:hAnsi="Times New Roman" w:cs="Times New Roman"/>
          <w:sz w:val="20"/>
          <w:szCs w:val="20"/>
        </w:rPr>
        <w:t>i</w:t>
      </w:r>
      <w:r w:rsidR="004E29C8">
        <w:rPr>
          <w:rFonts w:ascii="Times New Roman" w:hAnsi="Times New Roman" w:cs="Times New Roman"/>
          <w:sz w:val="20"/>
          <w:szCs w:val="20"/>
        </w:rPr>
        <w:t>a 10.3</w:t>
      </w:r>
    </w:p>
    <w:p w14:paraId="684BF9B0" w14:textId="77777777" w:rsidR="00AB4B88" w:rsidRPr="00294F5F" w:rsidRDefault="00AB4B88" w:rsidP="00294F5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EFF3450" w14:textId="6F0AFBD9" w:rsidR="00A06ACD" w:rsidRPr="00A06ACD" w:rsidRDefault="00A06ACD" w:rsidP="00646BE9">
      <w:pPr>
        <w:jc w:val="both"/>
        <w:rPr>
          <w:rFonts w:ascii="Times New Roman" w:hAnsi="Times New Roman" w:cs="Times New Roman"/>
          <w:sz w:val="24"/>
          <w:szCs w:val="24"/>
          <w:lang w:val="es-NI"/>
        </w:rPr>
      </w:pPr>
      <w:r w:rsidRPr="00A06ACD">
        <w:rPr>
          <w:rFonts w:ascii="Times New Roman" w:hAnsi="Times New Roman" w:cs="Times New Roman"/>
          <w:sz w:val="24"/>
          <w:szCs w:val="24"/>
          <w:lang w:val="es-NI"/>
        </w:rPr>
        <w:lastRenderedPageBreak/>
        <w:t>¿Por qué</w:t>
      </w:r>
      <w:r w:rsidR="00487201">
        <w:rPr>
          <w:rFonts w:ascii="Times New Roman" w:hAnsi="Times New Roman" w:cs="Times New Roman"/>
          <w:sz w:val="24"/>
          <w:szCs w:val="24"/>
          <w:lang w:val="es-NI"/>
        </w:rPr>
        <w:t xml:space="preserve"> ocurre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todo esto </w:t>
      </w:r>
      <w:r w:rsidR="00487201">
        <w:rPr>
          <w:rFonts w:ascii="Times New Roman" w:hAnsi="Times New Roman" w:cs="Times New Roman"/>
          <w:sz w:val="24"/>
          <w:szCs w:val="24"/>
          <w:lang w:val="es-NI"/>
        </w:rPr>
        <w:t>en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el noreste de Kenia? </w:t>
      </w:r>
      <w:r w:rsidR="00487201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La respuesta es complicada e implica muchas fuerzas sociales y políticas. </w:t>
      </w:r>
      <w:r w:rsidR="0081369F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Por ejemplo, muchas mujeres no tienen plena autonomía </w:t>
      </w:r>
      <w:r w:rsidR="0081369F">
        <w:rPr>
          <w:rFonts w:ascii="Times New Roman" w:hAnsi="Times New Roman" w:cs="Times New Roman"/>
          <w:sz w:val="24"/>
          <w:szCs w:val="24"/>
          <w:lang w:val="es-NI"/>
        </w:rPr>
        <w:t>en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81369F">
        <w:rPr>
          <w:rFonts w:ascii="Times New Roman" w:hAnsi="Times New Roman" w:cs="Times New Roman"/>
          <w:sz w:val="24"/>
          <w:szCs w:val="24"/>
          <w:lang w:val="es-NI"/>
        </w:rPr>
        <w:t xml:space="preserve">sus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decisiones. </w:t>
      </w:r>
      <w:r w:rsidR="0081369F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Las mujeres en el noreste </w:t>
      </w:r>
      <w:r w:rsidR="000F7D09">
        <w:rPr>
          <w:rFonts w:ascii="Times New Roman" w:hAnsi="Times New Roman" w:cs="Times New Roman"/>
          <w:sz w:val="24"/>
          <w:szCs w:val="24"/>
          <w:lang w:val="es-NI"/>
        </w:rPr>
        <w:t xml:space="preserve">toman menos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decisiones por </w:t>
      </w:r>
      <w:r w:rsidR="000F7D09">
        <w:rPr>
          <w:rFonts w:ascii="Times New Roman" w:hAnsi="Times New Roman" w:cs="Times New Roman"/>
          <w:sz w:val="24"/>
          <w:szCs w:val="24"/>
          <w:lang w:val="es-NI"/>
        </w:rPr>
        <w:t>sí mismas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, en comparación con otras regiones</w:t>
      </w:r>
      <w:r w:rsidR="006934E9" w:rsidRPr="00A06ACD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294F5F">
        <w:rPr>
          <w:rStyle w:val="FootnoteReference"/>
          <w:rFonts w:ascii="Times New Roman" w:hAnsi="Times New Roman" w:cs="Times New Roman"/>
          <w:sz w:val="24"/>
          <w:szCs w:val="24"/>
        </w:rPr>
        <w:footnoteReference w:id="19"/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5E510E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El presupuesto del Ministerio de </w:t>
      </w:r>
      <w:r w:rsidR="005E510E">
        <w:rPr>
          <w:rFonts w:ascii="Times New Roman" w:hAnsi="Times New Roman" w:cs="Times New Roman"/>
          <w:sz w:val="24"/>
          <w:szCs w:val="24"/>
          <w:lang w:val="es-NI"/>
        </w:rPr>
        <w:t>S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alud </w:t>
      </w:r>
      <w:r w:rsidR="001A0788">
        <w:rPr>
          <w:rFonts w:ascii="Times New Roman" w:hAnsi="Times New Roman" w:cs="Times New Roman"/>
          <w:sz w:val="24"/>
          <w:szCs w:val="24"/>
          <w:lang w:val="es-NI"/>
        </w:rPr>
        <w:t>para la zona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noreste es </w:t>
      </w:r>
      <w:r w:rsidR="000B1642">
        <w:rPr>
          <w:rFonts w:ascii="Times New Roman" w:hAnsi="Times New Roman" w:cs="Times New Roman"/>
          <w:sz w:val="24"/>
          <w:szCs w:val="24"/>
          <w:lang w:val="es-NI"/>
        </w:rPr>
        <w:t>grave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mente </w:t>
      </w:r>
      <w:r w:rsidR="00A20FBE">
        <w:rPr>
          <w:rFonts w:ascii="Times New Roman" w:hAnsi="Times New Roman" w:cs="Times New Roman"/>
          <w:sz w:val="24"/>
          <w:szCs w:val="24"/>
          <w:lang w:val="es-NI"/>
        </w:rPr>
        <w:t>poco financiado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. </w:t>
      </w:r>
      <w:r w:rsidR="00817552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Esto significa que </w:t>
      </w:r>
      <w:r w:rsidR="00817552">
        <w:rPr>
          <w:rFonts w:ascii="Times New Roman" w:hAnsi="Times New Roman" w:cs="Times New Roman"/>
          <w:sz w:val="24"/>
          <w:szCs w:val="24"/>
          <w:lang w:val="es-NI"/>
        </w:rPr>
        <w:t xml:space="preserve">se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puede hacer muy poco para revertir </w:t>
      </w:r>
      <w:r w:rsidR="00500474">
        <w:rPr>
          <w:rFonts w:ascii="Times New Roman" w:hAnsi="Times New Roman" w:cs="Times New Roman"/>
          <w:sz w:val="24"/>
          <w:szCs w:val="24"/>
          <w:lang w:val="es-NI"/>
        </w:rPr>
        <w:t xml:space="preserve">todos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los años de marginación </w:t>
      </w:r>
      <w:r w:rsidR="005A1922">
        <w:rPr>
          <w:rFonts w:ascii="Times New Roman" w:hAnsi="Times New Roman" w:cs="Times New Roman"/>
          <w:sz w:val="24"/>
          <w:szCs w:val="24"/>
          <w:lang w:val="es-NI"/>
        </w:rPr>
        <w:t>de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la regi</w:t>
      </w:r>
      <w:r w:rsidR="009C4C90">
        <w:rPr>
          <w:rFonts w:ascii="Times New Roman" w:hAnsi="Times New Roman" w:cs="Times New Roman"/>
          <w:sz w:val="24"/>
          <w:szCs w:val="24"/>
          <w:lang w:val="es-NI"/>
        </w:rPr>
        <w:t xml:space="preserve">ón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nor</w:t>
      </w:r>
      <w:r w:rsidR="009C4C90">
        <w:rPr>
          <w:rFonts w:ascii="Times New Roman" w:hAnsi="Times New Roman" w:cs="Times New Roman"/>
          <w:sz w:val="24"/>
          <w:szCs w:val="24"/>
          <w:lang w:val="es-NI"/>
        </w:rPr>
        <w:t>oriental</w:t>
      </w:r>
      <w:r w:rsidR="006934E9" w:rsidRPr="00A06ACD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792716">
        <w:rPr>
          <w:rStyle w:val="FootnoteReference"/>
          <w:rFonts w:ascii="Times New Roman" w:hAnsi="Times New Roman" w:cs="Times New Roman"/>
          <w:sz w:val="24"/>
          <w:szCs w:val="24"/>
        </w:rPr>
        <w:footnoteReference w:id="20"/>
      </w:r>
      <w:r w:rsidR="00792716"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5A1922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En general, </w:t>
      </w:r>
      <w:r w:rsidR="009B4623">
        <w:rPr>
          <w:rFonts w:ascii="Times New Roman" w:hAnsi="Times New Roman" w:cs="Times New Roman"/>
          <w:sz w:val="24"/>
          <w:szCs w:val="24"/>
          <w:lang w:val="es-NI"/>
        </w:rPr>
        <w:t xml:space="preserve">como producto de </w:t>
      </w:r>
      <w:r w:rsidR="006F0867"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las tensiones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sociales, políticas y étnicas, la región </w:t>
      </w:r>
      <w:r w:rsidR="00C856D1">
        <w:rPr>
          <w:rFonts w:ascii="Times New Roman" w:hAnsi="Times New Roman" w:cs="Times New Roman"/>
          <w:sz w:val="24"/>
          <w:szCs w:val="24"/>
          <w:lang w:val="es-NI"/>
        </w:rPr>
        <w:t>se ha rezagado en comparación con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el resto del país en términos de infraestructura y capital humano. </w:t>
      </w:r>
      <w:r w:rsidR="00370B2B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Por estas razones, es difícil mantener</w:t>
      </w:r>
      <w:r w:rsidR="005D22C7">
        <w:rPr>
          <w:rFonts w:ascii="Times New Roman" w:hAnsi="Times New Roman" w:cs="Times New Roman"/>
          <w:sz w:val="24"/>
          <w:szCs w:val="24"/>
          <w:lang w:val="es-NI"/>
        </w:rPr>
        <w:t xml:space="preserve"> el paso con e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l resto de Kenia en términos de actividades de salud pública. </w:t>
      </w:r>
      <w:r w:rsidR="005D22C7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Esto crea una situación </w:t>
      </w:r>
      <w:r w:rsidR="005D22C7">
        <w:rPr>
          <w:rFonts w:ascii="Times New Roman" w:hAnsi="Times New Roman" w:cs="Times New Roman"/>
          <w:sz w:val="24"/>
          <w:szCs w:val="24"/>
          <w:lang w:val="es-NI"/>
        </w:rPr>
        <w:t xml:space="preserve">de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desigual</w:t>
      </w:r>
      <w:r w:rsidR="00A822E3">
        <w:rPr>
          <w:rFonts w:ascii="Times New Roman" w:hAnsi="Times New Roman" w:cs="Times New Roman"/>
          <w:sz w:val="24"/>
          <w:szCs w:val="24"/>
          <w:lang w:val="es-NI"/>
        </w:rPr>
        <w:t>dad</w:t>
      </w:r>
      <w:r w:rsidR="00F900FE">
        <w:rPr>
          <w:rFonts w:ascii="Times New Roman" w:hAnsi="Times New Roman" w:cs="Times New Roman"/>
          <w:sz w:val="24"/>
          <w:szCs w:val="24"/>
          <w:lang w:val="es-NI"/>
        </w:rPr>
        <w:t xml:space="preserve"> en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donde </w:t>
      </w:r>
      <w:r w:rsidR="00F900FE">
        <w:rPr>
          <w:rFonts w:ascii="Times New Roman" w:hAnsi="Times New Roman" w:cs="Times New Roman"/>
          <w:sz w:val="24"/>
          <w:szCs w:val="24"/>
          <w:lang w:val="es-NI"/>
        </w:rPr>
        <w:t xml:space="preserve">un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gran número de mujeres </w:t>
      </w:r>
      <w:r w:rsidR="00F900FE">
        <w:rPr>
          <w:rFonts w:ascii="Times New Roman" w:hAnsi="Times New Roman" w:cs="Times New Roman"/>
          <w:sz w:val="24"/>
          <w:szCs w:val="24"/>
          <w:lang w:val="es-NI"/>
        </w:rPr>
        <w:t>de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esta zona no tienen acceso a la P</w:t>
      </w:r>
      <w:r w:rsidR="00F900FE">
        <w:rPr>
          <w:rFonts w:ascii="Times New Roman" w:hAnsi="Times New Roman" w:cs="Times New Roman"/>
          <w:sz w:val="24"/>
          <w:szCs w:val="24"/>
          <w:lang w:val="es-NI"/>
        </w:rPr>
        <w:t>F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.</w:t>
      </w:r>
    </w:p>
    <w:p w14:paraId="5EE126FA" w14:textId="3F0A3202" w:rsidR="00543107" w:rsidRPr="00A06ACD" w:rsidRDefault="00543107" w:rsidP="000B13FF">
      <w:pPr>
        <w:rPr>
          <w:rFonts w:ascii="Times New Roman" w:hAnsi="Times New Roman" w:cs="Times New Roman"/>
          <w:b/>
          <w:sz w:val="24"/>
          <w:szCs w:val="24"/>
          <w:lang w:val="es-NI"/>
        </w:rPr>
      </w:pPr>
      <w:r w:rsidRPr="00A06ACD">
        <w:rPr>
          <w:rFonts w:ascii="Times New Roman" w:hAnsi="Times New Roman" w:cs="Times New Roman"/>
          <w:b/>
          <w:sz w:val="24"/>
          <w:szCs w:val="24"/>
          <w:lang w:val="es-NI"/>
        </w:rPr>
        <w:t xml:space="preserve">III. </w:t>
      </w:r>
      <w:r w:rsidR="00A06ACD" w:rsidRPr="00A06ACD">
        <w:rPr>
          <w:rFonts w:ascii="Times New Roman" w:hAnsi="Times New Roman" w:cs="Times New Roman"/>
          <w:b/>
          <w:sz w:val="24"/>
          <w:szCs w:val="24"/>
          <w:lang w:val="es-NI"/>
        </w:rPr>
        <w:t xml:space="preserve">El futuro de la planificación familiar en la </w:t>
      </w:r>
      <w:r w:rsidR="00E319A9">
        <w:rPr>
          <w:rFonts w:ascii="Times New Roman" w:hAnsi="Times New Roman" w:cs="Times New Roman"/>
          <w:b/>
          <w:sz w:val="24"/>
          <w:szCs w:val="24"/>
          <w:lang w:val="es-NI"/>
        </w:rPr>
        <w:t>R</w:t>
      </w:r>
      <w:r w:rsidR="00A06ACD" w:rsidRPr="00A06ACD">
        <w:rPr>
          <w:rFonts w:ascii="Times New Roman" w:hAnsi="Times New Roman" w:cs="Times New Roman"/>
          <w:b/>
          <w:sz w:val="24"/>
          <w:szCs w:val="24"/>
          <w:lang w:val="es-NI"/>
        </w:rPr>
        <w:t xml:space="preserve">egión </w:t>
      </w:r>
      <w:r w:rsidR="00E319A9">
        <w:rPr>
          <w:rFonts w:ascii="Times New Roman" w:hAnsi="Times New Roman" w:cs="Times New Roman"/>
          <w:b/>
          <w:sz w:val="24"/>
          <w:szCs w:val="24"/>
          <w:lang w:val="es-NI"/>
        </w:rPr>
        <w:t>N</w:t>
      </w:r>
      <w:r w:rsidR="00A06ACD" w:rsidRPr="00A06ACD">
        <w:rPr>
          <w:rFonts w:ascii="Times New Roman" w:hAnsi="Times New Roman" w:cs="Times New Roman"/>
          <w:b/>
          <w:sz w:val="24"/>
          <w:szCs w:val="24"/>
          <w:lang w:val="es-NI"/>
        </w:rPr>
        <w:t>or</w:t>
      </w:r>
      <w:r w:rsidR="00A822E3">
        <w:rPr>
          <w:rFonts w:ascii="Times New Roman" w:hAnsi="Times New Roman" w:cs="Times New Roman"/>
          <w:b/>
          <w:sz w:val="24"/>
          <w:szCs w:val="24"/>
          <w:lang w:val="es-NI"/>
        </w:rPr>
        <w:t>oriental</w:t>
      </w:r>
    </w:p>
    <w:p w14:paraId="3C946CAE" w14:textId="49D4DC02" w:rsidR="00543107" w:rsidRPr="00A06ACD" w:rsidRDefault="00A06ACD" w:rsidP="00646BE9">
      <w:pPr>
        <w:jc w:val="both"/>
        <w:rPr>
          <w:rFonts w:ascii="Times New Roman" w:hAnsi="Times New Roman" w:cs="Times New Roman"/>
          <w:sz w:val="24"/>
          <w:szCs w:val="24"/>
          <w:lang w:val="es-NI"/>
        </w:rPr>
      </w:pP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En 2010, Kenia aprobó una nueva Constitución </w:t>
      </w:r>
      <w:r w:rsidR="001B6AA5">
        <w:rPr>
          <w:rFonts w:ascii="Times New Roman" w:hAnsi="Times New Roman" w:cs="Times New Roman"/>
          <w:sz w:val="24"/>
          <w:szCs w:val="24"/>
          <w:lang w:val="es-NI"/>
        </w:rPr>
        <w:t xml:space="preserve">sentando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una base sólida </w:t>
      </w:r>
      <w:r w:rsidR="00733EF6">
        <w:rPr>
          <w:rFonts w:ascii="Times New Roman" w:hAnsi="Times New Roman" w:cs="Times New Roman"/>
          <w:sz w:val="24"/>
          <w:szCs w:val="24"/>
          <w:lang w:val="es-NI"/>
        </w:rPr>
        <w:t xml:space="preserve">para poder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abordar las desigualdades económicas, disparidades regionales y marginación. Por ejemplo, el Gobierno </w:t>
      </w:r>
      <w:r w:rsidR="0084529F">
        <w:rPr>
          <w:rFonts w:ascii="Times New Roman" w:hAnsi="Times New Roman" w:cs="Times New Roman"/>
          <w:sz w:val="24"/>
          <w:szCs w:val="24"/>
          <w:lang w:val="es-NI"/>
        </w:rPr>
        <w:t>estableci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ó un </w:t>
      </w:r>
      <w:r w:rsidR="00D04E61">
        <w:rPr>
          <w:rFonts w:ascii="Times New Roman" w:hAnsi="Times New Roman" w:cs="Times New Roman"/>
          <w:sz w:val="24"/>
          <w:szCs w:val="24"/>
          <w:lang w:val="es-NI"/>
        </w:rPr>
        <w:t>F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ondo de </w:t>
      </w:r>
      <w:r w:rsidR="00D04E61">
        <w:rPr>
          <w:rFonts w:ascii="Times New Roman" w:hAnsi="Times New Roman" w:cs="Times New Roman"/>
          <w:sz w:val="24"/>
          <w:szCs w:val="24"/>
          <w:lang w:val="es-NI"/>
        </w:rPr>
        <w:t>C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ompensación, </w:t>
      </w:r>
      <w:r w:rsidR="006F1333">
        <w:rPr>
          <w:rFonts w:ascii="Times New Roman" w:hAnsi="Times New Roman" w:cs="Times New Roman"/>
          <w:sz w:val="24"/>
          <w:szCs w:val="24"/>
          <w:lang w:val="es-NI"/>
        </w:rPr>
        <w:t xml:space="preserve">con el cual </w:t>
      </w:r>
      <w:r w:rsidR="00E30EB6">
        <w:rPr>
          <w:rFonts w:ascii="Times New Roman" w:hAnsi="Times New Roman" w:cs="Times New Roman"/>
          <w:sz w:val="24"/>
          <w:szCs w:val="24"/>
          <w:lang w:val="es-NI"/>
        </w:rPr>
        <w:t xml:space="preserve">veremos que </w:t>
      </w:r>
      <w:r w:rsidR="006F7218">
        <w:rPr>
          <w:rFonts w:ascii="Times New Roman" w:hAnsi="Times New Roman" w:cs="Times New Roman"/>
          <w:sz w:val="24"/>
          <w:szCs w:val="24"/>
          <w:lang w:val="es-NI"/>
        </w:rPr>
        <w:t>al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menos el 0.5</w:t>
      </w:r>
      <w:r w:rsidR="00A2619E">
        <w:rPr>
          <w:rFonts w:ascii="Times New Roman" w:hAnsi="Times New Roman" w:cs="Times New Roman"/>
          <w:sz w:val="24"/>
          <w:szCs w:val="24"/>
          <w:lang w:val="es-NI"/>
        </w:rPr>
        <w:t>%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ingresos anuales </w:t>
      </w:r>
      <w:r w:rsidR="006F7218"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de Kenia </w:t>
      </w:r>
      <w:r w:rsidR="006F7218">
        <w:rPr>
          <w:rFonts w:ascii="Times New Roman" w:hAnsi="Times New Roman" w:cs="Times New Roman"/>
          <w:sz w:val="24"/>
          <w:szCs w:val="24"/>
          <w:lang w:val="es-NI"/>
        </w:rPr>
        <w:t>se</w:t>
      </w:r>
      <w:r w:rsidR="00E30EB6">
        <w:rPr>
          <w:rFonts w:ascii="Times New Roman" w:hAnsi="Times New Roman" w:cs="Times New Roman"/>
          <w:sz w:val="24"/>
          <w:szCs w:val="24"/>
          <w:lang w:val="es-NI"/>
        </w:rPr>
        <w:t>an</w:t>
      </w:r>
      <w:r w:rsidR="006F7218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016CED">
        <w:rPr>
          <w:rFonts w:ascii="Times New Roman" w:hAnsi="Times New Roman" w:cs="Times New Roman"/>
          <w:sz w:val="24"/>
          <w:szCs w:val="24"/>
          <w:lang w:val="es-NI"/>
        </w:rPr>
        <w:t>destinados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a las regiones más pobres del país para proporcionar</w:t>
      </w:r>
      <w:r w:rsidR="00686873">
        <w:rPr>
          <w:rFonts w:ascii="Times New Roman" w:hAnsi="Times New Roman" w:cs="Times New Roman"/>
          <w:sz w:val="24"/>
          <w:szCs w:val="24"/>
          <w:lang w:val="es-NI"/>
        </w:rPr>
        <w:t>les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servicios básicos, </w:t>
      </w:r>
      <w:r w:rsidR="00CA2893">
        <w:rPr>
          <w:rFonts w:ascii="Times New Roman" w:hAnsi="Times New Roman" w:cs="Times New Roman"/>
          <w:sz w:val="24"/>
          <w:szCs w:val="24"/>
          <w:lang w:val="es-NI"/>
        </w:rPr>
        <w:t>c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omo los servicios de salud</w:t>
      </w:r>
      <w:r w:rsidR="006934E9" w:rsidRPr="00A06ACD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543107">
        <w:rPr>
          <w:rStyle w:val="FootnoteReference"/>
          <w:rFonts w:ascii="Times New Roman" w:hAnsi="Times New Roman" w:cs="Times New Roman"/>
          <w:sz w:val="24"/>
          <w:szCs w:val="24"/>
        </w:rPr>
        <w:footnoteReference w:id="21"/>
      </w:r>
      <w:r w:rsidR="00543107"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CA2893">
        <w:rPr>
          <w:rFonts w:ascii="Times New Roman" w:hAnsi="Times New Roman" w:cs="Times New Roman"/>
          <w:sz w:val="24"/>
          <w:szCs w:val="24"/>
          <w:lang w:val="es-NI"/>
        </w:rPr>
        <w:t xml:space="preserve"> Con es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to </w:t>
      </w:r>
      <w:r w:rsidR="00CA2893">
        <w:rPr>
          <w:rFonts w:ascii="Times New Roman" w:hAnsi="Times New Roman" w:cs="Times New Roman"/>
          <w:sz w:val="24"/>
          <w:szCs w:val="24"/>
          <w:lang w:val="es-NI"/>
        </w:rPr>
        <w:t xml:space="preserve">se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pretende garantizar que las regiones </w:t>
      </w:r>
      <w:r w:rsidR="00DC2763">
        <w:rPr>
          <w:rFonts w:ascii="Times New Roman" w:hAnsi="Times New Roman" w:cs="Times New Roman"/>
          <w:sz w:val="24"/>
          <w:szCs w:val="24"/>
          <w:lang w:val="es-NI"/>
        </w:rPr>
        <w:t>con</w:t>
      </w:r>
      <w:r w:rsidR="007F058E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menos desarroll</w:t>
      </w:r>
      <w:r w:rsidR="007F058E">
        <w:rPr>
          <w:rFonts w:ascii="Times New Roman" w:hAnsi="Times New Roman" w:cs="Times New Roman"/>
          <w:sz w:val="24"/>
          <w:szCs w:val="24"/>
          <w:lang w:val="es-NI"/>
        </w:rPr>
        <w:t>o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DB7FA8">
        <w:rPr>
          <w:rFonts w:ascii="Times New Roman" w:hAnsi="Times New Roman" w:cs="Times New Roman"/>
          <w:sz w:val="24"/>
          <w:szCs w:val="24"/>
          <w:lang w:val="es-NI"/>
        </w:rPr>
        <w:t>puedan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64103E">
        <w:rPr>
          <w:rFonts w:ascii="Times New Roman" w:hAnsi="Times New Roman" w:cs="Times New Roman"/>
          <w:sz w:val="24"/>
          <w:szCs w:val="24"/>
          <w:lang w:val="es-NI"/>
        </w:rPr>
        <w:t>alcanzar a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l resto del país. </w:t>
      </w:r>
      <w:r w:rsidR="00146856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Además, es</w:t>
      </w:r>
      <w:r w:rsidR="00625659">
        <w:rPr>
          <w:rFonts w:ascii="Times New Roman" w:hAnsi="Times New Roman" w:cs="Times New Roman"/>
          <w:sz w:val="24"/>
          <w:szCs w:val="24"/>
          <w:lang w:val="es-NI"/>
        </w:rPr>
        <w:t>tá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la Comisión para la </w:t>
      </w:r>
      <w:r w:rsidR="006404C1">
        <w:rPr>
          <w:rFonts w:ascii="Times New Roman" w:hAnsi="Times New Roman" w:cs="Times New Roman"/>
          <w:sz w:val="24"/>
          <w:szCs w:val="24"/>
          <w:lang w:val="es-NI"/>
        </w:rPr>
        <w:t>A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signación de </w:t>
      </w:r>
      <w:r w:rsidR="006404C1">
        <w:rPr>
          <w:rFonts w:ascii="Times New Roman" w:hAnsi="Times New Roman" w:cs="Times New Roman"/>
          <w:sz w:val="24"/>
          <w:szCs w:val="24"/>
          <w:lang w:val="es-NI"/>
        </w:rPr>
        <w:t>I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ngresos, que trabaja en un proceso similar a</w:t>
      </w:r>
      <w:r w:rsidR="00D04E61">
        <w:rPr>
          <w:rFonts w:ascii="Times New Roman" w:hAnsi="Times New Roman" w:cs="Times New Roman"/>
          <w:sz w:val="24"/>
          <w:szCs w:val="24"/>
          <w:lang w:val="es-NI"/>
        </w:rPr>
        <w:t>l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del </w:t>
      </w:r>
      <w:r w:rsidR="00D04E61">
        <w:rPr>
          <w:rFonts w:ascii="Times New Roman" w:hAnsi="Times New Roman" w:cs="Times New Roman"/>
          <w:sz w:val="24"/>
          <w:szCs w:val="24"/>
          <w:lang w:val="es-NI"/>
        </w:rPr>
        <w:t>F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ondo de </w:t>
      </w:r>
      <w:r w:rsidR="00D04E61">
        <w:rPr>
          <w:rFonts w:ascii="Times New Roman" w:hAnsi="Times New Roman" w:cs="Times New Roman"/>
          <w:sz w:val="24"/>
          <w:szCs w:val="24"/>
          <w:lang w:val="es-NI"/>
        </w:rPr>
        <w:t>C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ompensación. </w:t>
      </w:r>
      <w:r w:rsidR="0002510A">
        <w:rPr>
          <w:rFonts w:ascii="Times New Roman" w:hAnsi="Times New Roman" w:cs="Times New Roman"/>
          <w:sz w:val="24"/>
          <w:szCs w:val="24"/>
          <w:lang w:val="es-NI"/>
        </w:rPr>
        <w:t>Ambas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iniciativas ofrecen oportunidades para reducir la desigualdad en el acceso </w:t>
      </w:r>
      <w:r w:rsidR="0002510A">
        <w:rPr>
          <w:rFonts w:ascii="Times New Roman" w:hAnsi="Times New Roman" w:cs="Times New Roman"/>
          <w:sz w:val="24"/>
          <w:szCs w:val="24"/>
          <w:lang w:val="es-NI"/>
        </w:rPr>
        <w:t>a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la P</w:t>
      </w:r>
      <w:r w:rsidR="002C4716">
        <w:rPr>
          <w:rFonts w:ascii="Times New Roman" w:hAnsi="Times New Roman" w:cs="Times New Roman"/>
          <w:sz w:val="24"/>
          <w:szCs w:val="24"/>
          <w:lang w:val="es-NI"/>
        </w:rPr>
        <w:t>F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en el noreste de Kenia.</w:t>
      </w:r>
    </w:p>
    <w:p w14:paraId="21C5F17A" w14:textId="33ABDD98" w:rsidR="00543107" w:rsidRPr="00A06ACD" w:rsidRDefault="00A06ACD" w:rsidP="00646BE9">
      <w:pPr>
        <w:jc w:val="both"/>
        <w:rPr>
          <w:rFonts w:ascii="Times New Roman" w:hAnsi="Times New Roman" w:cs="Times New Roman"/>
          <w:sz w:val="24"/>
          <w:szCs w:val="24"/>
          <w:lang w:val="es-NI"/>
        </w:rPr>
      </w:pPr>
      <w:r w:rsidRPr="00A06ACD">
        <w:rPr>
          <w:rFonts w:ascii="Times New Roman" w:hAnsi="Times New Roman" w:cs="Times New Roman"/>
          <w:sz w:val="24"/>
          <w:szCs w:val="24"/>
          <w:lang w:val="es-NI"/>
        </w:rPr>
        <w:t>Kenia también ha mostrado un compromiso con la FP2020 y l</w:t>
      </w:r>
      <w:r w:rsidR="00995600">
        <w:rPr>
          <w:rFonts w:ascii="Times New Roman" w:hAnsi="Times New Roman" w:cs="Times New Roman"/>
          <w:sz w:val="24"/>
          <w:szCs w:val="24"/>
          <w:lang w:val="es-NI"/>
        </w:rPr>
        <w:t>as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995600">
        <w:rPr>
          <w:rFonts w:ascii="Times New Roman" w:hAnsi="Times New Roman" w:cs="Times New Roman"/>
          <w:sz w:val="24"/>
          <w:szCs w:val="24"/>
          <w:lang w:val="es-NI"/>
        </w:rPr>
        <w:t>Metas d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e </w:t>
      </w:r>
      <w:r w:rsidR="00995600">
        <w:rPr>
          <w:rFonts w:ascii="Times New Roman" w:hAnsi="Times New Roman" w:cs="Times New Roman"/>
          <w:sz w:val="24"/>
          <w:szCs w:val="24"/>
          <w:lang w:val="es-NI"/>
        </w:rPr>
        <w:t>D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esarrollo </w:t>
      </w:r>
      <w:r w:rsidR="00995600">
        <w:rPr>
          <w:rFonts w:ascii="Times New Roman" w:hAnsi="Times New Roman" w:cs="Times New Roman"/>
          <w:sz w:val="24"/>
          <w:szCs w:val="24"/>
          <w:lang w:val="es-NI"/>
        </w:rPr>
        <w:t>S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ostenible. El Gobierno ha </w:t>
      </w:r>
      <w:r w:rsidR="00995600">
        <w:rPr>
          <w:rFonts w:ascii="Times New Roman" w:hAnsi="Times New Roman" w:cs="Times New Roman"/>
          <w:sz w:val="24"/>
          <w:szCs w:val="24"/>
          <w:lang w:val="es-NI"/>
        </w:rPr>
        <w:t xml:space="preserve">señalado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que el país está comprometido con "la meta de </w:t>
      </w:r>
      <w:r w:rsidR="008C1B41">
        <w:rPr>
          <w:rFonts w:ascii="Times New Roman" w:hAnsi="Times New Roman" w:cs="Times New Roman"/>
          <w:sz w:val="24"/>
          <w:szCs w:val="24"/>
          <w:lang w:val="es-NI"/>
        </w:rPr>
        <w:t>proporcionar</w:t>
      </w:r>
      <w:r w:rsidR="004D0A36">
        <w:rPr>
          <w:rFonts w:ascii="Times New Roman" w:hAnsi="Times New Roman" w:cs="Times New Roman"/>
          <w:sz w:val="24"/>
          <w:szCs w:val="24"/>
          <w:lang w:val="es-NI"/>
        </w:rPr>
        <w:t xml:space="preserve"> servicios</w:t>
      </w:r>
      <w:r w:rsidR="008C1B41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salud reproductiva de calidad </w:t>
      </w:r>
      <w:r w:rsidR="004F796E">
        <w:rPr>
          <w:rFonts w:ascii="Times New Roman" w:hAnsi="Times New Roman" w:cs="Times New Roman"/>
          <w:sz w:val="24"/>
          <w:szCs w:val="24"/>
          <w:lang w:val="es-NI"/>
        </w:rPr>
        <w:t xml:space="preserve">de forma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equitativa y accesible</w:t>
      </w:r>
      <w:r w:rsidR="002C0D9E">
        <w:rPr>
          <w:rFonts w:ascii="Times New Roman" w:hAnsi="Times New Roman" w:cs="Times New Roman"/>
          <w:sz w:val="24"/>
          <w:szCs w:val="24"/>
          <w:lang w:val="es-NI"/>
        </w:rPr>
        <w:t>s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4F796E">
        <w:rPr>
          <w:rFonts w:ascii="Times New Roman" w:hAnsi="Times New Roman" w:cs="Times New Roman"/>
          <w:sz w:val="24"/>
          <w:szCs w:val="24"/>
          <w:lang w:val="es-NI"/>
        </w:rPr>
        <w:t xml:space="preserve">que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incluy</w:t>
      </w:r>
      <w:r w:rsidR="00613803">
        <w:rPr>
          <w:rFonts w:ascii="Times New Roman" w:hAnsi="Times New Roman" w:cs="Times New Roman"/>
          <w:sz w:val="24"/>
          <w:szCs w:val="24"/>
          <w:lang w:val="es-NI"/>
        </w:rPr>
        <w:t>a</w:t>
      </w:r>
      <w:r w:rsidR="004D0A36">
        <w:rPr>
          <w:rFonts w:ascii="Times New Roman" w:hAnsi="Times New Roman" w:cs="Times New Roman"/>
          <w:sz w:val="24"/>
          <w:szCs w:val="24"/>
          <w:lang w:val="es-NI"/>
        </w:rPr>
        <w:t>n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información </w:t>
      </w:r>
      <w:r w:rsidR="00613803">
        <w:rPr>
          <w:rFonts w:ascii="Times New Roman" w:hAnsi="Times New Roman" w:cs="Times New Roman"/>
          <w:sz w:val="24"/>
          <w:szCs w:val="24"/>
          <w:lang w:val="es-NI"/>
        </w:rPr>
        <w:t xml:space="preserve">sobre los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servicios de planificación familiar y suministros para </w:t>
      </w:r>
      <w:r w:rsidR="00D64A23">
        <w:rPr>
          <w:rFonts w:ascii="Times New Roman" w:hAnsi="Times New Roman" w:cs="Times New Roman"/>
          <w:sz w:val="24"/>
          <w:szCs w:val="24"/>
          <w:lang w:val="es-NI"/>
        </w:rPr>
        <w:t>los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segmentos de población que los necesit</w:t>
      </w:r>
      <w:r w:rsidR="00CD46C7">
        <w:rPr>
          <w:rFonts w:ascii="Times New Roman" w:hAnsi="Times New Roman" w:cs="Times New Roman"/>
          <w:sz w:val="24"/>
          <w:szCs w:val="24"/>
          <w:lang w:val="es-NI"/>
        </w:rPr>
        <w:t>en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.</w:t>
      </w:r>
      <w:r w:rsidR="00543107" w:rsidRPr="00A06ACD">
        <w:rPr>
          <w:rFonts w:ascii="Times New Roman" w:hAnsi="Times New Roman" w:cs="Times New Roman"/>
          <w:sz w:val="24"/>
          <w:szCs w:val="24"/>
          <w:lang w:val="es-NI"/>
        </w:rPr>
        <w:t>”</w:t>
      </w:r>
      <w:r w:rsidR="00543107">
        <w:rPr>
          <w:rStyle w:val="FootnoteReference"/>
          <w:rFonts w:ascii="Times New Roman" w:hAnsi="Times New Roman" w:cs="Times New Roman"/>
          <w:sz w:val="24"/>
          <w:szCs w:val="24"/>
        </w:rPr>
        <w:footnoteReference w:id="22"/>
      </w:r>
      <w:r w:rsidR="00543107"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El </w:t>
      </w:r>
      <w:r w:rsidR="00CD46C7">
        <w:rPr>
          <w:rFonts w:ascii="Times New Roman" w:hAnsi="Times New Roman" w:cs="Times New Roman"/>
          <w:sz w:val="24"/>
          <w:szCs w:val="24"/>
          <w:lang w:val="es-NI"/>
        </w:rPr>
        <w:t>G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obierno </w:t>
      </w:r>
      <w:r w:rsidR="00CD46C7">
        <w:rPr>
          <w:rFonts w:ascii="Times New Roman" w:hAnsi="Times New Roman" w:cs="Times New Roman"/>
          <w:sz w:val="24"/>
          <w:szCs w:val="24"/>
          <w:lang w:val="es-NI"/>
        </w:rPr>
        <w:t>de Kenia</w:t>
      </w:r>
      <w:r w:rsidR="009E304F">
        <w:rPr>
          <w:rFonts w:ascii="Times New Roman" w:hAnsi="Times New Roman" w:cs="Times New Roman"/>
          <w:sz w:val="24"/>
          <w:szCs w:val="24"/>
          <w:lang w:val="es-NI"/>
        </w:rPr>
        <w:t xml:space="preserve"> se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estableci</w:t>
      </w:r>
      <w:r w:rsidR="009A1142">
        <w:rPr>
          <w:rFonts w:ascii="Times New Roman" w:hAnsi="Times New Roman" w:cs="Times New Roman"/>
          <w:sz w:val="24"/>
          <w:szCs w:val="24"/>
          <w:lang w:val="es-NI"/>
        </w:rPr>
        <w:t>ó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una meta </w:t>
      </w:r>
      <w:r w:rsidR="00536B31">
        <w:rPr>
          <w:rFonts w:ascii="Times New Roman" w:hAnsi="Times New Roman" w:cs="Times New Roman"/>
          <w:sz w:val="24"/>
          <w:szCs w:val="24"/>
          <w:lang w:val="es-NI"/>
        </w:rPr>
        <w:t>para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9E304F">
        <w:rPr>
          <w:rFonts w:ascii="Times New Roman" w:hAnsi="Times New Roman" w:cs="Times New Roman"/>
          <w:sz w:val="24"/>
          <w:szCs w:val="24"/>
          <w:lang w:val="es-NI"/>
        </w:rPr>
        <w:t>la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tasa de prevalencia </w:t>
      </w:r>
      <w:r w:rsidR="00697CC5">
        <w:rPr>
          <w:rFonts w:ascii="Times New Roman" w:hAnsi="Times New Roman" w:cs="Times New Roman"/>
          <w:sz w:val="24"/>
          <w:szCs w:val="24"/>
          <w:lang w:val="es-NI"/>
        </w:rPr>
        <w:t xml:space="preserve">de métodos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anticonceptiv</w:t>
      </w:r>
      <w:r w:rsidR="00697CC5">
        <w:rPr>
          <w:rFonts w:ascii="Times New Roman" w:hAnsi="Times New Roman" w:cs="Times New Roman"/>
          <w:sz w:val="24"/>
          <w:szCs w:val="24"/>
          <w:lang w:val="es-NI"/>
        </w:rPr>
        <w:t>os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del 70</w:t>
      </w:r>
      <w:r w:rsidR="009E304F">
        <w:rPr>
          <w:rFonts w:ascii="Times New Roman" w:hAnsi="Times New Roman" w:cs="Times New Roman"/>
          <w:sz w:val="24"/>
          <w:szCs w:val="24"/>
          <w:lang w:val="es-NI"/>
        </w:rPr>
        <w:t>%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783496">
        <w:rPr>
          <w:rFonts w:ascii="Times New Roman" w:hAnsi="Times New Roman" w:cs="Times New Roman"/>
          <w:sz w:val="24"/>
          <w:szCs w:val="24"/>
          <w:lang w:val="es-NI"/>
        </w:rPr>
        <w:t>para el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 2030. </w:t>
      </w:r>
      <w:r w:rsidR="0090112A">
        <w:rPr>
          <w:rFonts w:ascii="Times New Roman" w:hAnsi="Times New Roman" w:cs="Times New Roman"/>
          <w:sz w:val="24"/>
          <w:szCs w:val="24"/>
          <w:lang w:val="es-NI"/>
        </w:rPr>
        <w:t xml:space="preserve"> </w:t>
      </w:r>
      <w:r w:rsidR="00783496">
        <w:rPr>
          <w:rFonts w:ascii="Times New Roman" w:hAnsi="Times New Roman" w:cs="Times New Roman"/>
          <w:sz w:val="24"/>
          <w:szCs w:val="24"/>
          <w:lang w:val="es-NI"/>
        </w:rPr>
        <w:t>Alcanzar</w:t>
      </w:r>
      <w:r w:rsidR="0090112A">
        <w:rPr>
          <w:rFonts w:ascii="Times New Roman" w:hAnsi="Times New Roman" w:cs="Times New Roman"/>
          <w:sz w:val="24"/>
          <w:szCs w:val="24"/>
          <w:lang w:val="es-NI"/>
        </w:rPr>
        <w:t xml:space="preserve"> e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sta meta requiere de mayores inversiones en </w:t>
      </w:r>
      <w:r w:rsidR="0090112A">
        <w:rPr>
          <w:rFonts w:ascii="Times New Roman" w:hAnsi="Times New Roman" w:cs="Times New Roman"/>
          <w:sz w:val="24"/>
          <w:szCs w:val="24"/>
          <w:lang w:val="es-NI"/>
        </w:rPr>
        <w:t xml:space="preserve">los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programas </w:t>
      </w:r>
      <w:r w:rsidR="00A95068" w:rsidRPr="00A06ACD">
        <w:rPr>
          <w:rFonts w:ascii="Times New Roman" w:hAnsi="Times New Roman" w:cs="Times New Roman"/>
          <w:sz w:val="24"/>
          <w:szCs w:val="24"/>
          <w:lang w:val="es-NI"/>
        </w:rPr>
        <w:t xml:space="preserve">y servicios </w:t>
      </w:r>
      <w:r w:rsidRPr="00A06ACD">
        <w:rPr>
          <w:rFonts w:ascii="Times New Roman" w:hAnsi="Times New Roman" w:cs="Times New Roman"/>
          <w:sz w:val="24"/>
          <w:szCs w:val="24"/>
          <w:lang w:val="es-NI"/>
        </w:rPr>
        <w:t>de planificación familia</w:t>
      </w:r>
      <w:bookmarkStart w:id="0" w:name="_GoBack"/>
      <w:bookmarkEnd w:id="0"/>
      <w:r w:rsidRPr="00A06ACD">
        <w:rPr>
          <w:rFonts w:ascii="Times New Roman" w:hAnsi="Times New Roman" w:cs="Times New Roman"/>
          <w:sz w:val="24"/>
          <w:szCs w:val="24"/>
          <w:lang w:val="es-NI"/>
        </w:rPr>
        <w:t>r, particularmente para la región noreste.</w:t>
      </w:r>
    </w:p>
    <w:p w14:paraId="5A39BBE3" w14:textId="77777777" w:rsidR="004E29C8" w:rsidRPr="00A06ACD" w:rsidRDefault="004E29C8" w:rsidP="004E29C8">
      <w:pPr>
        <w:jc w:val="center"/>
        <w:rPr>
          <w:rFonts w:ascii="Times New Roman" w:hAnsi="Times New Roman" w:cs="Times New Roman"/>
          <w:sz w:val="20"/>
          <w:szCs w:val="20"/>
          <w:lang w:val="es-NI"/>
        </w:rPr>
      </w:pPr>
    </w:p>
    <w:sectPr w:rsidR="004E29C8" w:rsidRPr="00A06AC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429F8" w14:textId="77777777" w:rsidR="00641E46" w:rsidRDefault="00641E46" w:rsidP="006D6228">
      <w:pPr>
        <w:spacing w:after="0" w:line="240" w:lineRule="auto"/>
      </w:pPr>
      <w:r>
        <w:separator/>
      </w:r>
    </w:p>
  </w:endnote>
  <w:endnote w:type="continuationSeparator" w:id="0">
    <w:p w14:paraId="567D83C9" w14:textId="77777777" w:rsidR="00641E46" w:rsidRDefault="00641E46" w:rsidP="006D6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6214B" w14:textId="77777777" w:rsidR="00641E46" w:rsidRDefault="00641E46" w:rsidP="006D6228">
      <w:pPr>
        <w:spacing w:after="0" w:line="240" w:lineRule="auto"/>
      </w:pPr>
      <w:r>
        <w:separator/>
      </w:r>
    </w:p>
  </w:footnote>
  <w:footnote w:type="continuationSeparator" w:id="0">
    <w:p w14:paraId="0DE43B55" w14:textId="77777777" w:rsidR="00641E46" w:rsidRDefault="00641E46" w:rsidP="006D6228">
      <w:pPr>
        <w:spacing w:after="0" w:line="240" w:lineRule="auto"/>
      </w:pPr>
      <w:r>
        <w:continuationSeparator/>
      </w:r>
    </w:p>
  </w:footnote>
  <w:footnote w:id="1">
    <w:p w14:paraId="2A6C1BCE" w14:textId="54F5047B" w:rsidR="006D6228" w:rsidRPr="00DC5572" w:rsidRDefault="006D6228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r w:rsidR="003159AA" w:rsidRPr="00DC5572">
        <w:rPr>
          <w:lang w:val="es-ES"/>
        </w:rPr>
        <w:t>OM</w:t>
      </w:r>
      <w:r w:rsidR="003E5F38" w:rsidRPr="00DC5572">
        <w:rPr>
          <w:lang w:val="es-ES"/>
        </w:rPr>
        <w:t>S</w:t>
      </w:r>
      <w:r w:rsidRPr="00DC5572">
        <w:rPr>
          <w:lang w:val="es-ES"/>
        </w:rPr>
        <w:t>, “Family Planning</w:t>
      </w:r>
      <w:r w:rsidR="002C4302" w:rsidRPr="00DC5572">
        <w:rPr>
          <w:lang w:val="es-ES"/>
        </w:rPr>
        <w:t>,</w:t>
      </w:r>
      <w:r w:rsidRPr="00DC5572">
        <w:rPr>
          <w:lang w:val="es-ES"/>
        </w:rPr>
        <w:t xml:space="preserve">” </w:t>
      </w:r>
      <w:r w:rsidR="003E5F38" w:rsidRPr="00DC5572">
        <w:rPr>
          <w:lang w:val="es-ES"/>
        </w:rPr>
        <w:t>entrar a</w:t>
      </w:r>
      <w:r w:rsidRPr="00DC5572">
        <w:rPr>
          <w:lang w:val="es-ES"/>
        </w:rPr>
        <w:t xml:space="preserve"> </w:t>
      </w:r>
      <w:hyperlink r:id="rId1" w:history="1">
        <w:r w:rsidR="002C4302" w:rsidRPr="00DC5572">
          <w:rPr>
            <w:rStyle w:val="Hyperlink"/>
            <w:lang w:val="es-ES"/>
          </w:rPr>
          <w:t>www.who.int/topics/family_planning/en/</w:t>
        </w:r>
      </w:hyperlink>
      <w:r w:rsidR="002C4302" w:rsidRPr="00DC5572">
        <w:rPr>
          <w:rStyle w:val="Hyperlink"/>
          <w:lang w:val="es-ES"/>
        </w:rPr>
        <w:t>,</w:t>
      </w:r>
      <w:r w:rsidRPr="00DC5572">
        <w:rPr>
          <w:lang w:val="es-ES"/>
        </w:rPr>
        <w:t xml:space="preserve"> </w:t>
      </w:r>
      <w:r w:rsidR="003E5F38" w:rsidRPr="00DC5572">
        <w:rPr>
          <w:lang w:val="es-ES"/>
        </w:rPr>
        <w:t xml:space="preserve">20 de junio del </w:t>
      </w:r>
      <w:r w:rsidRPr="00DC5572">
        <w:rPr>
          <w:lang w:val="es-ES"/>
        </w:rPr>
        <w:t>2016.</w:t>
      </w:r>
    </w:p>
  </w:footnote>
  <w:footnote w:id="2">
    <w:p w14:paraId="3EA7C468" w14:textId="55FB2FE0" w:rsidR="00CC1BDE" w:rsidRPr="00DC5572" w:rsidRDefault="00CC1BDE" w:rsidP="00CC1BDE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r w:rsidR="002C4302" w:rsidRPr="00DC5572">
        <w:rPr>
          <w:lang w:val="es-ES"/>
        </w:rPr>
        <w:t>Toshiko Kaneda and Kristin Bietsch</w:t>
      </w:r>
      <w:r w:rsidRPr="00DC5572">
        <w:rPr>
          <w:lang w:val="es-ES"/>
        </w:rPr>
        <w:t>, “</w:t>
      </w:r>
      <w:r w:rsidR="00EA2A8C" w:rsidRPr="00DC5572">
        <w:rPr>
          <w:lang w:val="es-ES"/>
        </w:rPr>
        <w:t>World Population Data Sheet 201</w:t>
      </w:r>
      <w:r w:rsidR="002C4302" w:rsidRPr="00DC5572">
        <w:rPr>
          <w:lang w:val="es-ES"/>
        </w:rPr>
        <w:t>5,</w:t>
      </w:r>
      <w:r w:rsidRPr="00DC5572">
        <w:rPr>
          <w:lang w:val="es-ES"/>
        </w:rPr>
        <w:t xml:space="preserve">” </w:t>
      </w:r>
      <w:r w:rsidR="003E5F38" w:rsidRPr="00DC5572">
        <w:rPr>
          <w:lang w:val="es-ES"/>
        </w:rPr>
        <w:t>entrar a</w:t>
      </w:r>
      <w:r w:rsidRPr="00DC5572">
        <w:rPr>
          <w:lang w:val="es-ES"/>
        </w:rPr>
        <w:t xml:space="preserve"> </w:t>
      </w:r>
      <w:r w:rsidR="00EA2A8C" w:rsidRPr="00DC5572">
        <w:rPr>
          <w:lang w:val="es-ES"/>
        </w:rPr>
        <w:t>www.prb.org/pdf15/2015-world-population-data-sheet_eng.pdf</w:t>
      </w:r>
      <w:r w:rsidR="002C4302" w:rsidRPr="00DC5572">
        <w:rPr>
          <w:lang w:val="es-ES"/>
        </w:rPr>
        <w:t>,</w:t>
      </w:r>
      <w:r w:rsidR="00EA2A8C" w:rsidRPr="00DC5572">
        <w:rPr>
          <w:lang w:val="es-ES"/>
        </w:rPr>
        <w:t xml:space="preserve"> </w:t>
      </w:r>
      <w:r w:rsidR="003E5F38" w:rsidRPr="00DC5572">
        <w:rPr>
          <w:lang w:val="es-ES"/>
        </w:rPr>
        <w:t xml:space="preserve">27 de junio del </w:t>
      </w:r>
      <w:r w:rsidRPr="00DC5572">
        <w:rPr>
          <w:lang w:val="es-ES"/>
        </w:rPr>
        <w:t>2016</w:t>
      </w:r>
      <w:r w:rsidR="009515CD" w:rsidRPr="00DC5572">
        <w:rPr>
          <w:lang w:val="es-ES"/>
        </w:rPr>
        <w:t>.</w:t>
      </w:r>
    </w:p>
  </w:footnote>
  <w:footnote w:id="3">
    <w:p w14:paraId="3DA49636" w14:textId="6CFAB82F" w:rsidR="008E789D" w:rsidRPr="00DC5572" w:rsidRDefault="00114342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r w:rsidR="008E789D" w:rsidRPr="00DC5572">
        <w:rPr>
          <w:lang w:val="es-ES"/>
        </w:rPr>
        <w:t>K</w:t>
      </w:r>
      <w:r w:rsidR="002C4302" w:rsidRPr="00DC5572">
        <w:rPr>
          <w:lang w:val="es-ES"/>
        </w:rPr>
        <w:t xml:space="preserve">enya </w:t>
      </w:r>
      <w:r w:rsidR="008E789D" w:rsidRPr="00DC5572">
        <w:rPr>
          <w:lang w:val="es-ES"/>
        </w:rPr>
        <w:t>DHS 2014</w:t>
      </w:r>
      <w:r w:rsidR="006934E9" w:rsidRPr="00DC5572">
        <w:rPr>
          <w:lang w:val="es-ES"/>
        </w:rPr>
        <w:t xml:space="preserve"> (KDHS)</w:t>
      </w:r>
      <w:r w:rsidR="008E789D" w:rsidRPr="00DC5572">
        <w:rPr>
          <w:lang w:val="es-ES"/>
        </w:rPr>
        <w:t xml:space="preserve">, “Data for </w:t>
      </w:r>
      <w:r w:rsidR="002C4302" w:rsidRPr="00DC5572">
        <w:rPr>
          <w:lang w:val="es-ES"/>
        </w:rPr>
        <w:t>T</w:t>
      </w:r>
      <w:r w:rsidR="008E789D" w:rsidRPr="00DC5572">
        <w:rPr>
          <w:lang w:val="es-ES"/>
        </w:rPr>
        <w:t xml:space="preserve">rends in the </w:t>
      </w:r>
      <w:r w:rsidR="002C4302" w:rsidRPr="00DC5572">
        <w:rPr>
          <w:lang w:val="es-ES"/>
        </w:rPr>
        <w:t>C</w:t>
      </w:r>
      <w:r w:rsidR="008E789D" w:rsidRPr="00DC5572">
        <w:rPr>
          <w:lang w:val="es-ES"/>
        </w:rPr>
        <w:t xml:space="preserve">urrent </w:t>
      </w:r>
      <w:r w:rsidR="002C4302" w:rsidRPr="00DC5572">
        <w:rPr>
          <w:lang w:val="es-ES"/>
        </w:rPr>
        <w:t>U</w:t>
      </w:r>
      <w:r w:rsidR="008E789D" w:rsidRPr="00DC5572">
        <w:rPr>
          <w:lang w:val="es-ES"/>
        </w:rPr>
        <w:t xml:space="preserve">se of </w:t>
      </w:r>
      <w:r w:rsidR="002C4302" w:rsidRPr="00DC5572">
        <w:rPr>
          <w:lang w:val="es-ES"/>
        </w:rPr>
        <w:t>C</w:t>
      </w:r>
      <w:r w:rsidR="008E789D" w:rsidRPr="00DC5572">
        <w:rPr>
          <w:lang w:val="es-ES"/>
        </w:rPr>
        <w:t>ontraception</w:t>
      </w:r>
      <w:r w:rsidR="002C4302" w:rsidRPr="00DC5572">
        <w:rPr>
          <w:lang w:val="es-ES"/>
        </w:rPr>
        <w:t>,</w:t>
      </w:r>
      <w:r w:rsidR="008E789D" w:rsidRPr="00DC5572">
        <w:rPr>
          <w:lang w:val="es-ES"/>
        </w:rPr>
        <w:t xml:space="preserve">” </w:t>
      </w:r>
      <w:r w:rsidR="00AD4F6A" w:rsidRPr="00DC5572">
        <w:rPr>
          <w:lang w:val="es-ES"/>
        </w:rPr>
        <w:t>entrar a</w:t>
      </w:r>
      <w:r w:rsidR="008E789D" w:rsidRPr="00DC5572">
        <w:rPr>
          <w:lang w:val="es-ES"/>
        </w:rPr>
        <w:t xml:space="preserve"> </w:t>
      </w:r>
      <w:hyperlink r:id="rId2" w:history="1">
        <w:r w:rsidR="005274F0" w:rsidRPr="00DC5572">
          <w:rPr>
            <w:rStyle w:val="Hyperlink"/>
            <w:lang w:val="es-ES"/>
          </w:rPr>
          <w:t xml:space="preserve">http://dhsprogram.com/pubs/pdf/FR308/FR308.pdf, 20 de junio del </w:t>
        </w:r>
      </w:hyperlink>
      <w:r w:rsidR="008E789D" w:rsidRPr="00DC5572">
        <w:rPr>
          <w:lang w:val="es-ES"/>
        </w:rPr>
        <w:t>2016</w:t>
      </w:r>
      <w:r w:rsidR="009515CD" w:rsidRPr="00DC5572">
        <w:rPr>
          <w:lang w:val="es-ES"/>
        </w:rPr>
        <w:t>.</w:t>
      </w:r>
    </w:p>
  </w:footnote>
  <w:footnote w:id="4">
    <w:p w14:paraId="59958725" w14:textId="42675455" w:rsidR="000F1361" w:rsidRPr="00DC5572" w:rsidRDefault="000F1361" w:rsidP="000F1361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r w:rsidRPr="00DC5572">
        <w:rPr>
          <w:lang w:val="es-ES"/>
        </w:rPr>
        <w:t>Peter Ngure Ngethe, “</w:t>
      </w:r>
      <w:proofErr w:type="spellStart"/>
      <w:r w:rsidRPr="00DC5572">
        <w:rPr>
          <w:lang w:val="es-ES"/>
        </w:rPr>
        <w:t>Family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Planning</w:t>
      </w:r>
      <w:proofErr w:type="spellEnd"/>
      <w:r w:rsidRPr="00DC5572">
        <w:rPr>
          <w:lang w:val="es-ES"/>
        </w:rPr>
        <w:t xml:space="preserve"> in </w:t>
      </w:r>
      <w:proofErr w:type="spellStart"/>
      <w:r w:rsidRPr="00DC5572">
        <w:rPr>
          <w:lang w:val="es-ES"/>
        </w:rPr>
        <w:t>Kenya</w:t>
      </w:r>
      <w:proofErr w:type="spellEnd"/>
      <w:r w:rsidRPr="00DC5572">
        <w:rPr>
          <w:lang w:val="es-ES"/>
        </w:rPr>
        <w:t>,” (May</w:t>
      </w:r>
      <w:r w:rsidR="003159AA" w:rsidRPr="00DC5572">
        <w:rPr>
          <w:lang w:val="es-ES"/>
        </w:rPr>
        <w:t>o</w:t>
      </w:r>
      <w:r w:rsidRPr="00DC5572">
        <w:rPr>
          <w:lang w:val="es-ES"/>
        </w:rPr>
        <w:t xml:space="preserve"> 2014), </w:t>
      </w:r>
      <w:r w:rsidR="003159AA" w:rsidRPr="00DC5572">
        <w:rPr>
          <w:lang w:val="es-ES"/>
        </w:rPr>
        <w:t>en</w:t>
      </w:r>
      <w:r w:rsidRPr="00DC5572">
        <w:rPr>
          <w:lang w:val="es-ES"/>
        </w:rPr>
        <w:t xml:space="preserve"> </w:t>
      </w:r>
      <w:hyperlink r:id="rId3" w:history="1">
        <w:r w:rsidR="002C4302" w:rsidRPr="00DC5572">
          <w:rPr>
            <w:rStyle w:val="Hyperlink"/>
            <w:lang w:val="es-ES"/>
          </w:rPr>
          <w:t>www.dsw.org/uploads/tx_aedswpublication/family-planning-kenya_update.pdf</w:t>
        </w:r>
      </w:hyperlink>
      <w:r w:rsidR="002C4302" w:rsidRPr="00DC5572">
        <w:rPr>
          <w:rStyle w:val="Hyperlink"/>
          <w:lang w:val="es-ES"/>
        </w:rPr>
        <w:t>,</w:t>
      </w:r>
      <w:r w:rsidRPr="00DC5572">
        <w:rPr>
          <w:lang w:val="es-ES"/>
        </w:rPr>
        <w:t xml:space="preserve">  </w:t>
      </w:r>
      <w:r w:rsidR="003159AA" w:rsidRPr="00DC5572">
        <w:rPr>
          <w:lang w:val="es-ES"/>
        </w:rPr>
        <w:t xml:space="preserve">20 de junio del </w:t>
      </w:r>
      <w:r w:rsidRPr="00DC5572">
        <w:rPr>
          <w:lang w:val="es-ES"/>
        </w:rPr>
        <w:t>2016.</w:t>
      </w:r>
    </w:p>
  </w:footnote>
  <w:footnote w:id="5">
    <w:p w14:paraId="6CE9A697" w14:textId="77777777" w:rsidR="00991035" w:rsidRPr="00DC5572" w:rsidRDefault="00991035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proofErr w:type="spellStart"/>
      <w:r w:rsidR="002C4302" w:rsidRPr="00DC5572">
        <w:rPr>
          <w:lang w:val="es-ES"/>
        </w:rPr>
        <w:t>Ngethe</w:t>
      </w:r>
      <w:proofErr w:type="spellEnd"/>
      <w:r w:rsidR="002C4302" w:rsidRPr="00DC5572">
        <w:rPr>
          <w:lang w:val="es-ES"/>
        </w:rPr>
        <w:t>, “</w:t>
      </w:r>
      <w:proofErr w:type="spellStart"/>
      <w:r w:rsidR="002C4302" w:rsidRPr="00DC5572">
        <w:rPr>
          <w:lang w:val="es-ES"/>
        </w:rPr>
        <w:t>Family</w:t>
      </w:r>
      <w:proofErr w:type="spellEnd"/>
      <w:r w:rsidR="002C4302" w:rsidRPr="00DC5572">
        <w:rPr>
          <w:lang w:val="es-ES"/>
        </w:rPr>
        <w:t xml:space="preserve"> </w:t>
      </w:r>
      <w:proofErr w:type="spellStart"/>
      <w:r w:rsidR="002C4302" w:rsidRPr="00DC5572">
        <w:rPr>
          <w:lang w:val="es-ES"/>
        </w:rPr>
        <w:t>Planning</w:t>
      </w:r>
      <w:proofErr w:type="spellEnd"/>
      <w:r w:rsidR="002C4302" w:rsidRPr="00DC5572">
        <w:rPr>
          <w:lang w:val="es-ES"/>
        </w:rPr>
        <w:t xml:space="preserve"> in </w:t>
      </w:r>
      <w:proofErr w:type="spellStart"/>
      <w:r w:rsidR="002C4302" w:rsidRPr="00DC5572">
        <w:rPr>
          <w:lang w:val="es-ES"/>
        </w:rPr>
        <w:t>Kenya</w:t>
      </w:r>
      <w:proofErr w:type="spellEnd"/>
      <w:r w:rsidRPr="00DC5572">
        <w:rPr>
          <w:lang w:val="es-ES"/>
        </w:rPr>
        <w:t>.</w:t>
      </w:r>
      <w:r w:rsidR="002C4302" w:rsidRPr="00DC5572">
        <w:rPr>
          <w:lang w:val="es-ES"/>
        </w:rPr>
        <w:t>”</w:t>
      </w:r>
    </w:p>
  </w:footnote>
  <w:footnote w:id="6">
    <w:p w14:paraId="2F580A3C" w14:textId="15B38B5D" w:rsidR="00FB26D3" w:rsidRPr="00DC5572" w:rsidRDefault="00FB26D3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r w:rsidR="00C94837" w:rsidRPr="00DC5572">
        <w:rPr>
          <w:lang w:val="es-ES"/>
        </w:rPr>
        <w:t xml:space="preserve">Boletín </w:t>
      </w:r>
      <w:proofErr w:type="spellStart"/>
      <w:r w:rsidRPr="00DC5572">
        <w:rPr>
          <w:lang w:val="es-ES"/>
        </w:rPr>
        <w:t>Tupange</w:t>
      </w:r>
      <w:proofErr w:type="spellEnd"/>
      <w:r w:rsidRPr="00DC5572">
        <w:rPr>
          <w:lang w:val="es-ES"/>
        </w:rPr>
        <w:t>, “</w:t>
      </w:r>
      <w:proofErr w:type="spellStart"/>
      <w:r w:rsidRPr="00DC5572">
        <w:rPr>
          <w:lang w:val="es-ES"/>
        </w:rPr>
        <w:t>Government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Launches</w:t>
      </w:r>
      <w:proofErr w:type="spellEnd"/>
      <w:r w:rsidRPr="00DC5572">
        <w:rPr>
          <w:lang w:val="es-ES"/>
        </w:rPr>
        <w:t xml:space="preserve"> New </w:t>
      </w:r>
      <w:proofErr w:type="spellStart"/>
      <w:r w:rsidRPr="00DC5572">
        <w:rPr>
          <w:lang w:val="es-ES"/>
        </w:rPr>
        <w:t>Population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Policy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for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Kenya</w:t>
      </w:r>
      <w:proofErr w:type="spellEnd"/>
      <w:r w:rsidRPr="00DC5572">
        <w:rPr>
          <w:lang w:val="es-ES"/>
        </w:rPr>
        <w:t>,” (</w:t>
      </w:r>
      <w:proofErr w:type="spellStart"/>
      <w:r w:rsidRPr="00DC5572">
        <w:rPr>
          <w:lang w:val="es-ES"/>
        </w:rPr>
        <w:t>December</w:t>
      </w:r>
      <w:proofErr w:type="spellEnd"/>
      <w:r w:rsidRPr="00DC5572">
        <w:rPr>
          <w:lang w:val="es-ES"/>
        </w:rPr>
        <w:t xml:space="preserve"> 2012), </w:t>
      </w:r>
      <w:r w:rsidR="003159AA" w:rsidRPr="00DC5572">
        <w:rPr>
          <w:lang w:val="es-ES"/>
        </w:rPr>
        <w:t xml:space="preserve">en </w:t>
      </w:r>
      <w:r w:rsidRPr="00DC5572">
        <w:rPr>
          <w:lang w:val="es-ES"/>
        </w:rPr>
        <w:t xml:space="preserve"> </w:t>
      </w:r>
      <w:hyperlink r:id="rId4" w:history="1">
        <w:r w:rsidR="002C4302" w:rsidRPr="00DC5572">
          <w:rPr>
            <w:rStyle w:val="Hyperlink"/>
            <w:lang w:val="es-ES"/>
          </w:rPr>
          <w:t>www.tupange.or.ke/sites/g/files/g460412/f/201301/Tupange%20Newsletter%20Issue%204.pdf</w:t>
        </w:r>
      </w:hyperlink>
      <w:r w:rsidR="002C4302" w:rsidRPr="00DC5572">
        <w:rPr>
          <w:rStyle w:val="Hyperlink"/>
          <w:lang w:val="es-ES"/>
        </w:rPr>
        <w:t>,</w:t>
      </w:r>
      <w:r w:rsidRPr="00DC5572">
        <w:rPr>
          <w:lang w:val="es-ES"/>
        </w:rPr>
        <w:t xml:space="preserve"> </w:t>
      </w:r>
      <w:r w:rsidR="003159AA" w:rsidRPr="00DC5572">
        <w:rPr>
          <w:lang w:val="es-ES"/>
        </w:rPr>
        <w:t xml:space="preserve">30 de junio del </w:t>
      </w:r>
      <w:r w:rsidRPr="00DC5572">
        <w:rPr>
          <w:lang w:val="es-ES"/>
        </w:rPr>
        <w:t>2016</w:t>
      </w:r>
    </w:p>
  </w:footnote>
  <w:footnote w:id="7">
    <w:p w14:paraId="4C059C8C" w14:textId="2DC676B4" w:rsidR="000F1361" w:rsidRPr="00DC5572" w:rsidRDefault="000F1361" w:rsidP="000F1361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r w:rsidR="00C94837" w:rsidRPr="00DC5572">
        <w:rPr>
          <w:lang w:val="es-ES"/>
        </w:rPr>
        <w:t xml:space="preserve">Boletín </w:t>
      </w:r>
      <w:proofErr w:type="spellStart"/>
      <w:r w:rsidR="002C4302" w:rsidRPr="00DC5572">
        <w:rPr>
          <w:lang w:val="es-ES"/>
        </w:rPr>
        <w:t>Tupange</w:t>
      </w:r>
      <w:proofErr w:type="spellEnd"/>
      <w:r w:rsidR="002C4302" w:rsidRPr="00DC5572">
        <w:rPr>
          <w:lang w:val="es-ES"/>
        </w:rPr>
        <w:t>, “</w:t>
      </w:r>
      <w:proofErr w:type="spellStart"/>
      <w:r w:rsidR="002C4302" w:rsidRPr="00DC5572">
        <w:rPr>
          <w:lang w:val="es-ES"/>
        </w:rPr>
        <w:t>Government</w:t>
      </w:r>
      <w:proofErr w:type="spellEnd"/>
      <w:r w:rsidR="002C4302" w:rsidRPr="00DC5572">
        <w:rPr>
          <w:lang w:val="es-ES"/>
        </w:rPr>
        <w:t xml:space="preserve"> </w:t>
      </w:r>
      <w:proofErr w:type="spellStart"/>
      <w:r w:rsidR="002C4302" w:rsidRPr="00DC5572">
        <w:rPr>
          <w:lang w:val="es-ES"/>
        </w:rPr>
        <w:t>Launches</w:t>
      </w:r>
      <w:proofErr w:type="spellEnd"/>
      <w:r w:rsidR="002C4302" w:rsidRPr="00DC5572">
        <w:rPr>
          <w:lang w:val="es-ES"/>
        </w:rPr>
        <w:t xml:space="preserve"> New </w:t>
      </w:r>
      <w:proofErr w:type="spellStart"/>
      <w:r w:rsidR="002C4302" w:rsidRPr="00DC5572">
        <w:rPr>
          <w:lang w:val="es-ES"/>
        </w:rPr>
        <w:t>Population</w:t>
      </w:r>
      <w:proofErr w:type="spellEnd"/>
      <w:r w:rsidR="002C4302" w:rsidRPr="00DC5572">
        <w:rPr>
          <w:lang w:val="es-ES"/>
        </w:rPr>
        <w:t xml:space="preserve"> </w:t>
      </w:r>
      <w:proofErr w:type="spellStart"/>
      <w:r w:rsidR="002C4302" w:rsidRPr="00DC5572">
        <w:rPr>
          <w:lang w:val="es-ES"/>
        </w:rPr>
        <w:t>Policy</w:t>
      </w:r>
      <w:proofErr w:type="spellEnd"/>
      <w:r w:rsidR="002C4302" w:rsidRPr="00DC5572">
        <w:rPr>
          <w:lang w:val="es-ES"/>
        </w:rPr>
        <w:t xml:space="preserve"> </w:t>
      </w:r>
      <w:proofErr w:type="spellStart"/>
      <w:r w:rsidR="002C4302" w:rsidRPr="00DC5572">
        <w:rPr>
          <w:lang w:val="es-ES"/>
        </w:rPr>
        <w:t>for</w:t>
      </w:r>
      <w:proofErr w:type="spellEnd"/>
      <w:r w:rsidR="002C4302" w:rsidRPr="00DC5572">
        <w:rPr>
          <w:lang w:val="es-ES"/>
        </w:rPr>
        <w:t xml:space="preserve"> </w:t>
      </w:r>
      <w:proofErr w:type="spellStart"/>
      <w:r w:rsidR="002C4302" w:rsidRPr="00DC5572">
        <w:rPr>
          <w:lang w:val="es-ES"/>
        </w:rPr>
        <w:t>Kenya</w:t>
      </w:r>
      <w:proofErr w:type="spellEnd"/>
      <w:r w:rsidRPr="00DC5572">
        <w:rPr>
          <w:lang w:val="es-ES"/>
        </w:rPr>
        <w:t>.</w:t>
      </w:r>
      <w:r w:rsidR="002C4302" w:rsidRPr="00DC5572">
        <w:rPr>
          <w:lang w:val="es-ES"/>
        </w:rPr>
        <w:t>”</w:t>
      </w:r>
    </w:p>
  </w:footnote>
  <w:footnote w:id="8">
    <w:p w14:paraId="778A8946" w14:textId="21C36CE4" w:rsidR="00033B01" w:rsidRPr="00DC5572" w:rsidRDefault="00033B01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r w:rsidR="005274F0" w:rsidRPr="00DC5572">
        <w:rPr>
          <w:lang w:val="es-ES"/>
        </w:rPr>
        <w:t>Naciones Unidas</w:t>
      </w:r>
      <w:r w:rsidRPr="00DC5572">
        <w:rPr>
          <w:lang w:val="es-ES"/>
        </w:rPr>
        <w:t>, “</w:t>
      </w:r>
      <w:proofErr w:type="spellStart"/>
      <w:r w:rsidRPr="00DC5572">
        <w:rPr>
          <w:lang w:val="es-ES"/>
        </w:rPr>
        <w:t>Sustainable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Development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Goals</w:t>
      </w:r>
      <w:r w:rsidR="006934E9" w:rsidRPr="00DC5572">
        <w:rPr>
          <w:lang w:val="es-ES"/>
        </w:rPr>
        <w:t>-Gender</w:t>
      </w:r>
      <w:proofErr w:type="spellEnd"/>
      <w:r w:rsidR="006934E9" w:rsidRPr="00DC5572">
        <w:rPr>
          <w:lang w:val="es-ES"/>
        </w:rPr>
        <w:t xml:space="preserve"> </w:t>
      </w:r>
      <w:proofErr w:type="spellStart"/>
      <w:r w:rsidR="006934E9" w:rsidRPr="00DC5572">
        <w:rPr>
          <w:lang w:val="es-ES"/>
        </w:rPr>
        <w:t>Equality</w:t>
      </w:r>
      <w:proofErr w:type="spellEnd"/>
      <w:r w:rsidRPr="00DC5572">
        <w:rPr>
          <w:lang w:val="es-ES"/>
        </w:rPr>
        <w:t xml:space="preserve">,” </w:t>
      </w:r>
      <w:r w:rsidR="003159AA" w:rsidRPr="00DC5572">
        <w:rPr>
          <w:lang w:val="es-ES"/>
        </w:rPr>
        <w:t xml:space="preserve">en </w:t>
      </w:r>
      <w:r w:rsidRPr="00DC5572">
        <w:rPr>
          <w:lang w:val="es-ES"/>
        </w:rPr>
        <w:t xml:space="preserve"> </w:t>
      </w:r>
      <w:hyperlink r:id="rId5" w:history="1">
        <w:r w:rsidR="002C4302" w:rsidRPr="00DC5572">
          <w:rPr>
            <w:rStyle w:val="Hyperlink"/>
            <w:lang w:val="es-ES"/>
          </w:rPr>
          <w:t>www.un.org/sustainabledevelopment/gender-equality/</w:t>
        </w:r>
      </w:hyperlink>
      <w:r w:rsidR="002C4302" w:rsidRPr="00DC5572">
        <w:rPr>
          <w:rStyle w:val="Hyperlink"/>
          <w:lang w:val="es-ES"/>
        </w:rPr>
        <w:t>,</w:t>
      </w:r>
      <w:r w:rsidRPr="00DC5572">
        <w:rPr>
          <w:lang w:val="es-ES"/>
        </w:rPr>
        <w:t xml:space="preserve"> </w:t>
      </w:r>
      <w:r w:rsidR="003159AA" w:rsidRPr="00DC5572">
        <w:rPr>
          <w:lang w:val="es-ES"/>
        </w:rPr>
        <w:t xml:space="preserve">20 de junio del </w:t>
      </w:r>
      <w:r w:rsidRPr="00DC5572">
        <w:rPr>
          <w:lang w:val="es-ES"/>
        </w:rPr>
        <w:t xml:space="preserve">2016 </w:t>
      </w:r>
      <w:r w:rsidR="009515CD" w:rsidRPr="00DC5572">
        <w:rPr>
          <w:lang w:val="es-ES"/>
        </w:rPr>
        <w:t>.</w:t>
      </w:r>
    </w:p>
  </w:footnote>
  <w:footnote w:id="9">
    <w:p w14:paraId="3BFA4B98" w14:textId="77777777" w:rsidR="00B2609A" w:rsidRPr="00DC5572" w:rsidRDefault="00B2609A" w:rsidP="00B2609A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United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Nations</w:t>
      </w:r>
      <w:proofErr w:type="spellEnd"/>
      <w:r w:rsidRPr="00DC5572">
        <w:rPr>
          <w:lang w:val="es-ES"/>
        </w:rPr>
        <w:t>, “</w:t>
      </w:r>
      <w:proofErr w:type="spellStart"/>
      <w:r w:rsidRPr="00DC5572">
        <w:rPr>
          <w:lang w:val="es-ES"/>
        </w:rPr>
        <w:t>Sustainable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Development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Goals-Inequality</w:t>
      </w:r>
      <w:proofErr w:type="spellEnd"/>
      <w:r w:rsidRPr="00DC5572">
        <w:rPr>
          <w:lang w:val="es-ES"/>
        </w:rPr>
        <w:t xml:space="preserve">,” </w:t>
      </w:r>
      <w:proofErr w:type="spellStart"/>
      <w:r w:rsidRPr="00DC5572">
        <w:rPr>
          <w:lang w:val="es-ES"/>
        </w:rPr>
        <w:t>accessed</w:t>
      </w:r>
      <w:proofErr w:type="spellEnd"/>
      <w:r w:rsidRPr="00DC5572">
        <w:rPr>
          <w:lang w:val="es-ES"/>
        </w:rPr>
        <w:t xml:space="preserve"> at </w:t>
      </w:r>
      <w:hyperlink r:id="rId6" w:history="1">
        <w:r w:rsidRPr="00DC5572">
          <w:rPr>
            <w:rStyle w:val="Hyperlink"/>
            <w:lang w:val="es-ES"/>
          </w:rPr>
          <w:t>http://www.un.org/sustainabledevelopment/inequality/</w:t>
        </w:r>
      </w:hyperlink>
      <w:r w:rsidRPr="00DC5572">
        <w:rPr>
          <w:rStyle w:val="Hyperlink"/>
          <w:lang w:val="es-ES"/>
        </w:rPr>
        <w:t>,</w:t>
      </w:r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on</w:t>
      </w:r>
      <w:proofErr w:type="spellEnd"/>
      <w:r w:rsidRPr="00DC5572">
        <w:rPr>
          <w:lang w:val="es-ES"/>
        </w:rPr>
        <w:t xml:space="preserve"> June 20, 2016.</w:t>
      </w:r>
    </w:p>
  </w:footnote>
  <w:footnote w:id="10">
    <w:p w14:paraId="4B1195A5" w14:textId="4D3F4CE4" w:rsidR="002E5905" w:rsidRPr="00DC5572" w:rsidRDefault="002E5905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r w:rsidR="00B43779" w:rsidRPr="00DC5572">
        <w:rPr>
          <w:lang w:val="es-ES"/>
        </w:rPr>
        <w:t>Ministeri</w:t>
      </w:r>
      <w:r w:rsidR="00EF2FCE" w:rsidRPr="00DC5572">
        <w:rPr>
          <w:lang w:val="es-ES"/>
        </w:rPr>
        <w:t>o</w:t>
      </w:r>
      <w:r w:rsidR="00B43779" w:rsidRPr="00DC5572">
        <w:rPr>
          <w:lang w:val="es-ES"/>
        </w:rPr>
        <w:t xml:space="preserve"> de </w:t>
      </w:r>
      <w:r w:rsidR="00EF2FCE" w:rsidRPr="00DC5572">
        <w:rPr>
          <w:lang w:val="es-ES"/>
        </w:rPr>
        <w:t>Planificación</w:t>
      </w:r>
      <w:r w:rsidR="00B43779" w:rsidRPr="00DC5572">
        <w:rPr>
          <w:lang w:val="es-ES"/>
        </w:rPr>
        <w:t xml:space="preserve"> </w:t>
      </w:r>
      <w:r w:rsidR="00EF2FCE" w:rsidRPr="00DC5572">
        <w:rPr>
          <w:lang w:val="es-ES"/>
        </w:rPr>
        <w:t xml:space="preserve">de </w:t>
      </w:r>
      <w:r w:rsidR="006934E9" w:rsidRPr="00DC5572">
        <w:rPr>
          <w:lang w:val="es-ES"/>
        </w:rPr>
        <w:t>Ken</w:t>
      </w:r>
      <w:r w:rsidR="00EF2FCE" w:rsidRPr="00DC5572">
        <w:rPr>
          <w:lang w:val="es-ES"/>
        </w:rPr>
        <w:t>i</w:t>
      </w:r>
      <w:r w:rsidR="006934E9" w:rsidRPr="00DC5572">
        <w:rPr>
          <w:lang w:val="es-ES"/>
        </w:rPr>
        <w:t>a</w:t>
      </w:r>
      <w:r w:rsidRPr="00DC5572">
        <w:rPr>
          <w:lang w:val="es-ES"/>
        </w:rPr>
        <w:t xml:space="preserve">, </w:t>
      </w:r>
      <w:r w:rsidR="00EF2FCE" w:rsidRPr="00DC5572">
        <w:rPr>
          <w:lang w:val="es-ES"/>
        </w:rPr>
        <w:t xml:space="preserve">Desarrollo y Visión </w:t>
      </w:r>
      <w:r w:rsidRPr="00DC5572">
        <w:rPr>
          <w:lang w:val="es-ES"/>
        </w:rPr>
        <w:t>Na</w:t>
      </w:r>
      <w:r w:rsidR="00EF2FCE" w:rsidRPr="00DC5572">
        <w:rPr>
          <w:lang w:val="es-ES"/>
        </w:rPr>
        <w:t xml:space="preserve">cional </w:t>
      </w:r>
      <w:r w:rsidRPr="00DC5572">
        <w:rPr>
          <w:lang w:val="es-ES"/>
        </w:rPr>
        <w:t xml:space="preserve">2030, “2009 </w:t>
      </w:r>
      <w:proofErr w:type="spellStart"/>
      <w:r w:rsidRPr="00DC5572">
        <w:rPr>
          <w:lang w:val="es-ES"/>
        </w:rPr>
        <w:t>Population</w:t>
      </w:r>
      <w:proofErr w:type="spellEnd"/>
      <w:r w:rsidRPr="00DC5572">
        <w:rPr>
          <w:lang w:val="es-ES"/>
        </w:rPr>
        <w:t xml:space="preserve"> &amp; </w:t>
      </w:r>
      <w:proofErr w:type="spellStart"/>
      <w:r w:rsidRPr="00DC5572">
        <w:rPr>
          <w:lang w:val="es-ES"/>
        </w:rPr>
        <w:t>Housing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Census</w:t>
      </w:r>
      <w:proofErr w:type="spellEnd"/>
      <w:r w:rsidRPr="00DC5572">
        <w:rPr>
          <w:lang w:val="es-ES"/>
        </w:rPr>
        <w:t xml:space="preserve">,” </w:t>
      </w:r>
      <w:r w:rsidR="003159AA" w:rsidRPr="00DC5572">
        <w:rPr>
          <w:lang w:val="es-ES"/>
        </w:rPr>
        <w:t xml:space="preserve">entrar a </w:t>
      </w:r>
      <w:hyperlink r:id="rId7" w:history="1">
        <w:r w:rsidRPr="00DC5572">
          <w:rPr>
            <w:rStyle w:val="Hyperlink"/>
            <w:lang w:val="es-ES"/>
          </w:rPr>
          <w:t>https://web.archive.org/web/20130810185221/http://www.knbs.or.ke/docs/PresentationbyMinisterforPlanningrevised.pdf</w:t>
        </w:r>
      </w:hyperlink>
      <w:r w:rsidR="006934E9" w:rsidRPr="00DC5572">
        <w:rPr>
          <w:rStyle w:val="Hyperlink"/>
          <w:lang w:val="es-ES"/>
        </w:rPr>
        <w:t>,</w:t>
      </w:r>
      <w:r w:rsidRPr="00DC5572">
        <w:rPr>
          <w:lang w:val="es-ES"/>
        </w:rPr>
        <w:t xml:space="preserve"> </w:t>
      </w:r>
      <w:r w:rsidR="003159AA" w:rsidRPr="00DC5572">
        <w:rPr>
          <w:lang w:val="es-ES"/>
        </w:rPr>
        <w:t xml:space="preserve">21 de junio del </w:t>
      </w:r>
      <w:r w:rsidRPr="00DC5572">
        <w:rPr>
          <w:lang w:val="es-ES"/>
        </w:rPr>
        <w:t>2016</w:t>
      </w:r>
    </w:p>
  </w:footnote>
  <w:footnote w:id="11">
    <w:p w14:paraId="27EDB83B" w14:textId="77777777" w:rsidR="002C2827" w:rsidRPr="00DC5572" w:rsidRDefault="002C2827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="006934E9" w:rsidRPr="00DC5572">
        <w:rPr>
          <w:lang w:val="es-ES"/>
        </w:rPr>
        <w:t xml:space="preserve"> </w:t>
      </w:r>
      <w:proofErr w:type="spellStart"/>
      <w:r w:rsidR="006934E9" w:rsidRPr="00DC5572">
        <w:rPr>
          <w:lang w:val="es-ES"/>
        </w:rPr>
        <w:t>KDHS</w:t>
      </w:r>
      <w:proofErr w:type="spellEnd"/>
      <w:r w:rsidR="006934E9" w:rsidRPr="00DC5572">
        <w:rPr>
          <w:lang w:val="es-ES"/>
        </w:rPr>
        <w:t xml:space="preserve"> 2014</w:t>
      </w:r>
      <w:r w:rsidRPr="00DC5572">
        <w:rPr>
          <w:lang w:val="es-ES"/>
        </w:rPr>
        <w:t>.</w:t>
      </w:r>
    </w:p>
  </w:footnote>
  <w:footnote w:id="12">
    <w:p w14:paraId="49AD9C16" w14:textId="77777777" w:rsidR="00596061" w:rsidRPr="00DC5572" w:rsidRDefault="00596061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KDHS</w:t>
      </w:r>
      <w:proofErr w:type="spellEnd"/>
      <w:r w:rsidRPr="00DC5572">
        <w:rPr>
          <w:lang w:val="es-ES"/>
        </w:rPr>
        <w:t xml:space="preserve"> 2014</w:t>
      </w:r>
      <w:r w:rsidR="006934E9" w:rsidRPr="00DC5572">
        <w:rPr>
          <w:lang w:val="es-ES"/>
        </w:rPr>
        <w:t>.</w:t>
      </w:r>
    </w:p>
  </w:footnote>
  <w:footnote w:id="13">
    <w:p w14:paraId="511DE53C" w14:textId="77777777" w:rsidR="00413FCF" w:rsidRPr="00DC5572" w:rsidRDefault="00413FCF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KDHS</w:t>
      </w:r>
      <w:proofErr w:type="spellEnd"/>
      <w:r w:rsidRPr="00DC5572">
        <w:rPr>
          <w:lang w:val="es-ES"/>
        </w:rPr>
        <w:t xml:space="preserve"> 2014</w:t>
      </w:r>
      <w:r w:rsidR="006934E9" w:rsidRPr="00DC5572">
        <w:rPr>
          <w:lang w:val="es-ES"/>
        </w:rPr>
        <w:t>.</w:t>
      </w:r>
    </w:p>
  </w:footnote>
  <w:footnote w:id="14">
    <w:p w14:paraId="647FD7ED" w14:textId="77777777" w:rsidR="007A0B89" w:rsidRPr="00DC5572" w:rsidRDefault="007A0B89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KDHS</w:t>
      </w:r>
      <w:proofErr w:type="spellEnd"/>
      <w:r w:rsidRPr="00DC5572">
        <w:rPr>
          <w:lang w:val="es-ES"/>
        </w:rPr>
        <w:t xml:space="preserve"> 2014</w:t>
      </w:r>
      <w:r w:rsidR="006934E9" w:rsidRPr="00DC5572">
        <w:rPr>
          <w:lang w:val="es-ES"/>
        </w:rPr>
        <w:t>.</w:t>
      </w:r>
    </w:p>
  </w:footnote>
  <w:footnote w:id="15">
    <w:p w14:paraId="11DA518A" w14:textId="77777777" w:rsidR="007A0B89" w:rsidRPr="00DC5572" w:rsidRDefault="007A0B89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KDHS</w:t>
      </w:r>
      <w:proofErr w:type="spellEnd"/>
      <w:r w:rsidRPr="00DC5572">
        <w:rPr>
          <w:lang w:val="es-ES"/>
        </w:rPr>
        <w:t xml:space="preserve"> 2014</w:t>
      </w:r>
      <w:r w:rsidR="006934E9" w:rsidRPr="00DC5572">
        <w:rPr>
          <w:lang w:val="es-ES"/>
        </w:rPr>
        <w:t>.</w:t>
      </w:r>
    </w:p>
  </w:footnote>
  <w:footnote w:id="16">
    <w:p w14:paraId="30237380" w14:textId="77777777" w:rsidR="00895BDB" w:rsidRPr="00DC5572" w:rsidRDefault="00895BDB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proofErr w:type="spellStart"/>
      <w:r w:rsidR="006934E9" w:rsidRPr="00DC5572">
        <w:rPr>
          <w:lang w:val="es-ES"/>
        </w:rPr>
        <w:t>KDHS</w:t>
      </w:r>
      <w:proofErr w:type="spellEnd"/>
      <w:r w:rsidR="006934E9" w:rsidRPr="00DC5572">
        <w:rPr>
          <w:lang w:val="es-ES"/>
        </w:rPr>
        <w:t xml:space="preserve"> 2014</w:t>
      </w:r>
      <w:r w:rsidRPr="00DC5572">
        <w:rPr>
          <w:lang w:val="es-ES"/>
        </w:rPr>
        <w:t>.</w:t>
      </w:r>
    </w:p>
  </w:footnote>
  <w:footnote w:id="17">
    <w:p w14:paraId="2CF2D54F" w14:textId="6E795C27" w:rsidR="00A31CC2" w:rsidRPr="00DC5572" w:rsidRDefault="00A31CC2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Pathfinder</w:t>
      </w:r>
      <w:proofErr w:type="spellEnd"/>
      <w:r w:rsidRPr="00DC5572">
        <w:rPr>
          <w:lang w:val="es-ES"/>
        </w:rPr>
        <w:t>, “</w:t>
      </w:r>
      <w:proofErr w:type="spellStart"/>
      <w:r w:rsidRPr="00DC5572">
        <w:rPr>
          <w:lang w:val="es-ES"/>
        </w:rPr>
        <w:t>Increasing</w:t>
      </w:r>
      <w:proofErr w:type="spellEnd"/>
      <w:r w:rsidRPr="00DC5572">
        <w:rPr>
          <w:lang w:val="es-ES"/>
        </w:rPr>
        <w:t xml:space="preserve"> Access to </w:t>
      </w:r>
      <w:proofErr w:type="spellStart"/>
      <w:r w:rsidRPr="00DC5572">
        <w:rPr>
          <w:lang w:val="es-ES"/>
        </w:rPr>
        <w:t>Quality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Health</w:t>
      </w:r>
      <w:proofErr w:type="spellEnd"/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Services</w:t>
      </w:r>
      <w:proofErr w:type="spellEnd"/>
      <w:r w:rsidRPr="00DC5572">
        <w:rPr>
          <w:lang w:val="es-ES"/>
        </w:rPr>
        <w:t xml:space="preserve"> in </w:t>
      </w:r>
      <w:proofErr w:type="spellStart"/>
      <w:r w:rsidRPr="00DC5572">
        <w:rPr>
          <w:lang w:val="es-ES"/>
        </w:rPr>
        <w:t>Kenya’s</w:t>
      </w:r>
      <w:proofErr w:type="spellEnd"/>
      <w:r w:rsidRPr="00DC5572">
        <w:rPr>
          <w:lang w:val="es-ES"/>
        </w:rPr>
        <w:t xml:space="preserve"> North Eastern </w:t>
      </w:r>
      <w:proofErr w:type="spellStart"/>
      <w:r w:rsidRPr="00DC5572">
        <w:rPr>
          <w:lang w:val="es-ES"/>
        </w:rPr>
        <w:t>Province</w:t>
      </w:r>
      <w:proofErr w:type="spellEnd"/>
      <w:r w:rsidRPr="00DC5572">
        <w:rPr>
          <w:lang w:val="es-ES"/>
        </w:rPr>
        <w:t xml:space="preserve">,” </w:t>
      </w:r>
      <w:r w:rsidR="00F158BD" w:rsidRPr="00DC5572">
        <w:rPr>
          <w:lang w:val="es-ES"/>
        </w:rPr>
        <w:t>en</w:t>
      </w:r>
      <w:r w:rsidRPr="00DC5572">
        <w:rPr>
          <w:lang w:val="es-ES"/>
        </w:rPr>
        <w:t xml:space="preserve"> </w:t>
      </w:r>
      <w:hyperlink r:id="rId8" w:history="1">
        <w:r w:rsidR="006934E9" w:rsidRPr="00DC5572">
          <w:rPr>
            <w:rStyle w:val="Hyperlink"/>
            <w:lang w:val="es-ES"/>
          </w:rPr>
          <w:t>www.pathfinder.org/publications-tools/pdfs/Increasing-Access-to-Quality-Health-Services-in-Kenyas-North-Eastern-Province.pdf</w:t>
        </w:r>
      </w:hyperlink>
      <w:r w:rsidR="006934E9" w:rsidRPr="00DC5572">
        <w:rPr>
          <w:rStyle w:val="Hyperlink"/>
          <w:lang w:val="es-ES"/>
        </w:rPr>
        <w:t>,</w:t>
      </w:r>
      <w:r w:rsidRPr="00DC5572">
        <w:rPr>
          <w:lang w:val="es-ES"/>
        </w:rPr>
        <w:t xml:space="preserve"> </w:t>
      </w:r>
      <w:r w:rsidR="00F158BD" w:rsidRPr="00DC5572">
        <w:rPr>
          <w:lang w:val="es-ES"/>
        </w:rPr>
        <w:t xml:space="preserve">24 de junio del </w:t>
      </w:r>
      <w:r w:rsidRPr="00DC5572">
        <w:rPr>
          <w:lang w:val="es-ES"/>
        </w:rPr>
        <w:t>2016.</w:t>
      </w:r>
    </w:p>
  </w:footnote>
  <w:footnote w:id="18">
    <w:p w14:paraId="105F4D50" w14:textId="77777777" w:rsidR="008826E9" w:rsidRPr="00DC5572" w:rsidRDefault="008826E9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KDHS</w:t>
      </w:r>
      <w:proofErr w:type="spellEnd"/>
      <w:r w:rsidRPr="00DC5572">
        <w:rPr>
          <w:lang w:val="es-ES"/>
        </w:rPr>
        <w:t xml:space="preserve"> 2014.</w:t>
      </w:r>
    </w:p>
  </w:footnote>
  <w:footnote w:id="19">
    <w:p w14:paraId="1AA4C045" w14:textId="77777777" w:rsidR="00294F5F" w:rsidRPr="00DC5572" w:rsidRDefault="00294F5F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proofErr w:type="spellStart"/>
      <w:r w:rsidRPr="00DC5572">
        <w:rPr>
          <w:lang w:val="es-ES"/>
        </w:rPr>
        <w:t>KDHS</w:t>
      </w:r>
      <w:proofErr w:type="spellEnd"/>
      <w:r w:rsidRPr="00DC5572">
        <w:rPr>
          <w:lang w:val="es-ES"/>
        </w:rPr>
        <w:t xml:space="preserve"> </w:t>
      </w:r>
      <w:r w:rsidR="006934E9" w:rsidRPr="00DC5572">
        <w:rPr>
          <w:lang w:val="es-ES"/>
        </w:rPr>
        <w:t>2014.</w:t>
      </w:r>
    </w:p>
  </w:footnote>
  <w:footnote w:id="20">
    <w:p w14:paraId="6D54BBC3" w14:textId="4D09FE66" w:rsidR="00792716" w:rsidRPr="00DC5572" w:rsidRDefault="00792716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r w:rsidRPr="00DC5572">
        <w:rPr>
          <w:lang w:val="es-ES"/>
        </w:rPr>
        <w:t>Friedrich-Ebert-</w:t>
      </w:r>
      <w:proofErr w:type="spellStart"/>
      <w:r w:rsidRPr="00DC5572">
        <w:rPr>
          <w:lang w:val="es-ES"/>
        </w:rPr>
        <w:t>Stiftung</w:t>
      </w:r>
      <w:proofErr w:type="spellEnd"/>
      <w:r w:rsidRPr="00DC5572">
        <w:rPr>
          <w:lang w:val="es-ES"/>
        </w:rPr>
        <w:t xml:space="preserve">, “Regional </w:t>
      </w:r>
      <w:proofErr w:type="spellStart"/>
      <w:r w:rsidRPr="00DC5572">
        <w:rPr>
          <w:lang w:val="es-ES"/>
        </w:rPr>
        <w:t>Disparities</w:t>
      </w:r>
      <w:proofErr w:type="spellEnd"/>
      <w:r w:rsidRPr="00DC5572">
        <w:rPr>
          <w:lang w:val="es-ES"/>
        </w:rPr>
        <w:t xml:space="preserve"> and </w:t>
      </w:r>
      <w:proofErr w:type="spellStart"/>
      <w:r w:rsidRPr="00DC5572">
        <w:rPr>
          <w:lang w:val="es-ES"/>
        </w:rPr>
        <w:t>Marginalisation</w:t>
      </w:r>
      <w:proofErr w:type="spellEnd"/>
      <w:r w:rsidRPr="00DC5572">
        <w:rPr>
          <w:lang w:val="es-ES"/>
        </w:rPr>
        <w:t xml:space="preserve"> in </w:t>
      </w:r>
      <w:proofErr w:type="spellStart"/>
      <w:r w:rsidRPr="00DC5572">
        <w:rPr>
          <w:lang w:val="es-ES"/>
        </w:rPr>
        <w:t>Kenya</w:t>
      </w:r>
      <w:proofErr w:type="spellEnd"/>
      <w:r w:rsidRPr="00DC5572">
        <w:rPr>
          <w:lang w:val="es-ES"/>
        </w:rPr>
        <w:t>,” (2012)</w:t>
      </w:r>
      <w:r w:rsidR="006934E9" w:rsidRPr="00DC5572">
        <w:rPr>
          <w:lang w:val="es-ES"/>
        </w:rPr>
        <w:t xml:space="preserve">, </w:t>
      </w:r>
      <w:r w:rsidR="00CC1907" w:rsidRPr="00DC5572">
        <w:rPr>
          <w:lang w:val="es-ES"/>
        </w:rPr>
        <w:t>en</w:t>
      </w:r>
      <w:r w:rsidRPr="00DC5572">
        <w:rPr>
          <w:lang w:val="es-ES"/>
        </w:rPr>
        <w:t xml:space="preserve"> </w:t>
      </w:r>
      <w:hyperlink r:id="rId9" w:history="1">
        <w:r w:rsidRPr="00DC5572">
          <w:rPr>
            <w:rStyle w:val="Hyperlink"/>
            <w:lang w:val="es-ES"/>
          </w:rPr>
          <w:t>http://library.fes.de/pdf-files/bueros/kenia/09859.pdf</w:t>
        </w:r>
      </w:hyperlink>
      <w:r w:rsidR="006934E9" w:rsidRPr="00DC5572">
        <w:rPr>
          <w:rStyle w:val="Hyperlink"/>
          <w:lang w:val="es-ES"/>
        </w:rPr>
        <w:t>,</w:t>
      </w:r>
      <w:r w:rsidRPr="00DC5572">
        <w:rPr>
          <w:lang w:val="es-ES"/>
        </w:rPr>
        <w:t xml:space="preserve"> </w:t>
      </w:r>
      <w:r w:rsidR="00F158BD" w:rsidRPr="00DC5572">
        <w:rPr>
          <w:lang w:val="es-ES"/>
        </w:rPr>
        <w:t xml:space="preserve">21 de junio del </w:t>
      </w:r>
      <w:r w:rsidRPr="00DC5572">
        <w:rPr>
          <w:lang w:val="es-ES"/>
        </w:rPr>
        <w:t>2016.</w:t>
      </w:r>
    </w:p>
  </w:footnote>
  <w:footnote w:id="21">
    <w:p w14:paraId="178694CF" w14:textId="77777777" w:rsidR="00543107" w:rsidRPr="00DC5572" w:rsidRDefault="00543107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r w:rsidR="006934E9" w:rsidRPr="00DC5572">
        <w:rPr>
          <w:lang w:val="es-ES"/>
        </w:rPr>
        <w:t>Friedrich-Ebert-</w:t>
      </w:r>
      <w:proofErr w:type="spellStart"/>
      <w:r w:rsidR="006934E9" w:rsidRPr="00DC5572">
        <w:rPr>
          <w:lang w:val="es-ES"/>
        </w:rPr>
        <w:t>Stiftung</w:t>
      </w:r>
      <w:proofErr w:type="spellEnd"/>
      <w:r w:rsidR="006934E9" w:rsidRPr="00DC5572">
        <w:rPr>
          <w:lang w:val="es-ES"/>
        </w:rPr>
        <w:t xml:space="preserve">, “Regional </w:t>
      </w:r>
      <w:proofErr w:type="spellStart"/>
      <w:r w:rsidR="006934E9" w:rsidRPr="00DC5572">
        <w:rPr>
          <w:lang w:val="es-ES"/>
        </w:rPr>
        <w:t>Disparities</w:t>
      </w:r>
      <w:proofErr w:type="spellEnd"/>
      <w:r w:rsidR="006934E9" w:rsidRPr="00DC5572">
        <w:rPr>
          <w:lang w:val="es-ES"/>
        </w:rPr>
        <w:t xml:space="preserve"> and </w:t>
      </w:r>
      <w:proofErr w:type="spellStart"/>
      <w:r w:rsidR="006934E9" w:rsidRPr="00DC5572">
        <w:rPr>
          <w:lang w:val="es-ES"/>
        </w:rPr>
        <w:t>Marginalisation</w:t>
      </w:r>
      <w:proofErr w:type="spellEnd"/>
      <w:r w:rsidR="006934E9" w:rsidRPr="00DC5572">
        <w:rPr>
          <w:lang w:val="es-ES"/>
        </w:rPr>
        <w:t xml:space="preserve"> in </w:t>
      </w:r>
      <w:proofErr w:type="spellStart"/>
      <w:r w:rsidR="006934E9" w:rsidRPr="00DC5572">
        <w:rPr>
          <w:lang w:val="es-ES"/>
        </w:rPr>
        <w:t>Kenya</w:t>
      </w:r>
      <w:proofErr w:type="spellEnd"/>
      <w:r w:rsidRPr="00DC5572">
        <w:rPr>
          <w:lang w:val="es-ES"/>
        </w:rPr>
        <w:t>.</w:t>
      </w:r>
      <w:r w:rsidR="006934E9" w:rsidRPr="00DC5572">
        <w:rPr>
          <w:lang w:val="es-ES"/>
        </w:rPr>
        <w:t>”</w:t>
      </w:r>
    </w:p>
  </w:footnote>
  <w:footnote w:id="22">
    <w:p w14:paraId="70D56951" w14:textId="0FCF376A" w:rsidR="00543107" w:rsidRPr="00DC5572" w:rsidRDefault="00543107">
      <w:pPr>
        <w:pStyle w:val="FootnoteText"/>
        <w:rPr>
          <w:lang w:val="es-ES"/>
        </w:rPr>
      </w:pPr>
      <w:r w:rsidRPr="00DC5572">
        <w:rPr>
          <w:rStyle w:val="FootnoteReference"/>
          <w:lang w:val="es-ES"/>
        </w:rPr>
        <w:footnoteRef/>
      </w:r>
      <w:r w:rsidRPr="00DC5572">
        <w:rPr>
          <w:lang w:val="es-ES"/>
        </w:rPr>
        <w:t xml:space="preserve"> </w:t>
      </w:r>
      <w:r w:rsidRPr="00DC5572">
        <w:rPr>
          <w:lang w:val="es-ES"/>
        </w:rPr>
        <w:t>FP2020, “Ken</w:t>
      </w:r>
      <w:r w:rsidR="00D12267" w:rsidRPr="00DC5572">
        <w:rPr>
          <w:lang w:val="es-ES"/>
        </w:rPr>
        <w:t>i</w:t>
      </w:r>
      <w:r w:rsidRPr="00DC5572">
        <w:rPr>
          <w:lang w:val="es-ES"/>
        </w:rPr>
        <w:t xml:space="preserve">a,” </w:t>
      </w:r>
      <w:r w:rsidR="003411B4" w:rsidRPr="00DC5572">
        <w:rPr>
          <w:lang w:val="es-ES"/>
        </w:rPr>
        <w:t>entrar a</w:t>
      </w:r>
      <w:r w:rsidRPr="00DC5572">
        <w:rPr>
          <w:lang w:val="es-ES"/>
        </w:rPr>
        <w:t xml:space="preserve"> </w:t>
      </w:r>
      <w:hyperlink r:id="rId10" w:history="1">
        <w:r w:rsidR="006934E9" w:rsidRPr="00DC5572">
          <w:rPr>
            <w:rStyle w:val="Hyperlink"/>
            <w:lang w:val="es-ES"/>
          </w:rPr>
          <w:t>www.familyplanning2020.org/entities/77</w:t>
        </w:r>
      </w:hyperlink>
      <w:r w:rsidR="006934E9" w:rsidRPr="00DC5572">
        <w:rPr>
          <w:lang w:val="es-ES"/>
        </w:rPr>
        <w:t>,</w:t>
      </w:r>
      <w:r w:rsidRPr="00DC5572">
        <w:rPr>
          <w:lang w:val="es-ES"/>
        </w:rPr>
        <w:t xml:space="preserve"> </w:t>
      </w:r>
      <w:r w:rsidR="00F158BD" w:rsidRPr="00DC5572">
        <w:rPr>
          <w:lang w:val="es-ES"/>
        </w:rPr>
        <w:t>21 de junio del 2016</w:t>
      </w:r>
      <w:r w:rsidR="006934E9" w:rsidRPr="00DC5572"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AF5DE" w14:textId="4B80B9FD" w:rsidR="00CA0986" w:rsidRDefault="00C80CB9" w:rsidP="00CA0986">
    <w:pPr>
      <w:spacing w:after="0"/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100D2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40660DF3" w14:textId="2F24BFB3" w:rsidR="00C80CB9" w:rsidRPr="008B28DE" w:rsidRDefault="00C80CB9" w:rsidP="00CA0986">
    <w:pPr>
      <w:spacing w:after="0"/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8B28DE">
      <w:rPr>
        <w:rFonts w:ascii="Arial" w:hAnsi="Arial" w:cs="Arial"/>
        <w:color w:val="404040"/>
        <w:sz w:val="28"/>
        <w:szCs w:val="28"/>
        <w:lang w:val="es-NI"/>
      </w:rPr>
      <w:t>Toolkit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032C5083" w14:textId="2DB99250" w:rsidR="001D6BD7" w:rsidRPr="00635A8F" w:rsidRDefault="00635A8F" w:rsidP="00CA0986">
    <w:pPr>
      <w:pStyle w:val="Header"/>
      <w:pBdr>
        <w:bottom w:val="single" w:sz="4" w:space="1" w:color="auto"/>
      </w:pBdr>
      <w:jc w:val="right"/>
      <w:rPr>
        <w:rFonts w:ascii="Arial" w:hAnsi="Arial" w:cs="Arial"/>
        <w:color w:val="808080" w:themeColor="background1" w:themeShade="80"/>
        <w:sz w:val="28"/>
        <w:szCs w:val="36"/>
        <w:lang w:val="es-NI"/>
      </w:rPr>
    </w:pPr>
    <w:r w:rsidRPr="00635A8F">
      <w:rPr>
        <w:rFonts w:ascii="Arial" w:hAnsi="Arial" w:cs="Arial"/>
        <w:sz w:val="32"/>
        <w:szCs w:val="32"/>
        <w:lang w:val="es-NI"/>
      </w:rPr>
      <w:t xml:space="preserve">Estudio de </w:t>
    </w:r>
    <w:r w:rsidR="00BE313E">
      <w:rPr>
        <w:rFonts w:ascii="Arial" w:hAnsi="Arial" w:cs="Arial"/>
        <w:sz w:val="32"/>
        <w:szCs w:val="32"/>
        <w:lang w:val="es-NI"/>
      </w:rPr>
      <w:t>C</w:t>
    </w:r>
    <w:r w:rsidRPr="00635A8F">
      <w:rPr>
        <w:rFonts w:ascii="Arial" w:hAnsi="Arial" w:cs="Arial"/>
        <w:sz w:val="32"/>
        <w:szCs w:val="32"/>
        <w:lang w:val="es-NI"/>
      </w:rPr>
      <w:t xml:space="preserve">aso: </w:t>
    </w:r>
    <w:r w:rsidR="008F3A44">
      <w:rPr>
        <w:rFonts w:ascii="Arial" w:hAnsi="Arial" w:cs="Arial"/>
        <w:sz w:val="32"/>
        <w:szCs w:val="32"/>
        <w:lang w:val="es-NI"/>
      </w:rPr>
      <w:t>P</w:t>
    </w:r>
    <w:r w:rsidRPr="00635A8F">
      <w:rPr>
        <w:rFonts w:ascii="Arial" w:hAnsi="Arial" w:cs="Arial"/>
        <w:sz w:val="32"/>
        <w:szCs w:val="32"/>
        <w:lang w:val="es-NI"/>
      </w:rPr>
      <w:t xml:space="preserve">lanificación </w:t>
    </w:r>
    <w:r w:rsidR="008F3A44">
      <w:rPr>
        <w:rFonts w:ascii="Arial" w:hAnsi="Arial" w:cs="Arial"/>
        <w:sz w:val="32"/>
        <w:szCs w:val="32"/>
        <w:lang w:val="es-NI"/>
      </w:rPr>
      <w:t>F</w:t>
    </w:r>
    <w:r w:rsidRPr="00635A8F">
      <w:rPr>
        <w:rFonts w:ascii="Arial" w:hAnsi="Arial" w:cs="Arial"/>
        <w:sz w:val="32"/>
        <w:szCs w:val="32"/>
        <w:lang w:val="es-NI"/>
      </w:rPr>
      <w:t>amilia</w:t>
    </w:r>
    <w:r w:rsidR="008F3A44">
      <w:rPr>
        <w:rFonts w:ascii="Arial" w:hAnsi="Arial" w:cs="Arial"/>
        <w:sz w:val="32"/>
        <w:szCs w:val="32"/>
        <w:lang w:val="es-NI"/>
      </w:rPr>
      <w:t>r</w:t>
    </w:r>
    <w:r w:rsidRPr="00635A8F">
      <w:rPr>
        <w:rFonts w:ascii="Arial" w:hAnsi="Arial" w:cs="Arial"/>
        <w:sz w:val="32"/>
        <w:szCs w:val="32"/>
        <w:lang w:val="es-NI"/>
      </w:rPr>
      <w:t xml:space="preserve"> en Kenia</w:t>
    </w:r>
    <w:r w:rsidR="001D6BD7" w:rsidRPr="00635A8F">
      <w:rPr>
        <w:rFonts w:ascii="Arial" w:hAnsi="Arial" w:cs="Arial"/>
        <w:sz w:val="32"/>
        <w:szCs w:val="32"/>
        <w:lang w:val="es-NI"/>
      </w:rPr>
      <w:t xml:space="preserve"> (SC6E)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F10EE"/>
    <w:multiLevelType w:val="hybridMultilevel"/>
    <w:tmpl w:val="CA747C5E"/>
    <w:lvl w:ilvl="0" w:tplc="822C3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28"/>
    <w:rsid w:val="00002D4C"/>
    <w:rsid w:val="0000631B"/>
    <w:rsid w:val="00007B35"/>
    <w:rsid w:val="00012436"/>
    <w:rsid w:val="00014AFC"/>
    <w:rsid w:val="00016860"/>
    <w:rsid w:val="00016CED"/>
    <w:rsid w:val="00021384"/>
    <w:rsid w:val="0002510A"/>
    <w:rsid w:val="000258E3"/>
    <w:rsid w:val="00033B01"/>
    <w:rsid w:val="00045BDE"/>
    <w:rsid w:val="00045D51"/>
    <w:rsid w:val="00052927"/>
    <w:rsid w:val="00060993"/>
    <w:rsid w:val="00065194"/>
    <w:rsid w:val="000708A8"/>
    <w:rsid w:val="000733A8"/>
    <w:rsid w:val="00081098"/>
    <w:rsid w:val="0009529D"/>
    <w:rsid w:val="000A2E76"/>
    <w:rsid w:val="000A41C9"/>
    <w:rsid w:val="000A471C"/>
    <w:rsid w:val="000B13FF"/>
    <w:rsid w:val="000B1642"/>
    <w:rsid w:val="000B6A28"/>
    <w:rsid w:val="000C57D7"/>
    <w:rsid w:val="000D62B2"/>
    <w:rsid w:val="000E6BF6"/>
    <w:rsid w:val="000F1361"/>
    <w:rsid w:val="000F7D09"/>
    <w:rsid w:val="00105618"/>
    <w:rsid w:val="00114342"/>
    <w:rsid w:val="0012161A"/>
    <w:rsid w:val="00124B20"/>
    <w:rsid w:val="00140133"/>
    <w:rsid w:val="00140368"/>
    <w:rsid w:val="00145A44"/>
    <w:rsid w:val="00146856"/>
    <w:rsid w:val="001622B5"/>
    <w:rsid w:val="001629C5"/>
    <w:rsid w:val="00171163"/>
    <w:rsid w:val="0018296D"/>
    <w:rsid w:val="001901BA"/>
    <w:rsid w:val="00197A96"/>
    <w:rsid w:val="001A0788"/>
    <w:rsid w:val="001B6AA5"/>
    <w:rsid w:val="001C1CC5"/>
    <w:rsid w:val="001C77B2"/>
    <w:rsid w:val="001C7E0B"/>
    <w:rsid w:val="001D436A"/>
    <w:rsid w:val="001D6BD7"/>
    <w:rsid w:val="001F10E2"/>
    <w:rsid w:val="001F7E31"/>
    <w:rsid w:val="00206164"/>
    <w:rsid w:val="00207A55"/>
    <w:rsid w:val="0021077F"/>
    <w:rsid w:val="002174E2"/>
    <w:rsid w:val="00226D3F"/>
    <w:rsid w:val="00232218"/>
    <w:rsid w:val="00236B80"/>
    <w:rsid w:val="00244760"/>
    <w:rsid w:val="0024531D"/>
    <w:rsid w:val="002465B0"/>
    <w:rsid w:val="00280B82"/>
    <w:rsid w:val="00291875"/>
    <w:rsid w:val="00292A2C"/>
    <w:rsid w:val="00294F5F"/>
    <w:rsid w:val="0029561C"/>
    <w:rsid w:val="002A1E90"/>
    <w:rsid w:val="002A349F"/>
    <w:rsid w:val="002A4EF1"/>
    <w:rsid w:val="002B50A6"/>
    <w:rsid w:val="002B556A"/>
    <w:rsid w:val="002C0D9E"/>
    <w:rsid w:val="002C2827"/>
    <w:rsid w:val="002C4302"/>
    <w:rsid w:val="002C4716"/>
    <w:rsid w:val="002D122E"/>
    <w:rsid w:val="002D5100"/>
    <w:rsid w:val="002E5905"/>
    <w:rsid w:val="002E7BE0"/>
    <w:rsid w:val="002F51C9"/>
    <w:rsid w:val="00300F84"/>
    <w:rsid w:val="00314F72"/>
    <w:rsid w:val="003159AA"/>
    <w:rsid w:val="00317C5B"/>
    <w:rsid w:val="00320BEB"/>
    <w:rsid w:val="00332FCB"/>
    <w:rsid w:val="003411B4"/>
    <w:rsid w:val="00353D34"/>
    <w:rsid w:val="003603BA"/>
    <w:rsid w:val="00363F30"/>
    <w:rsid w:val="00370B2B"/>
    <w:rsid w:val="003757C5"/>
    <w:rsid w:val="00376FCE"/>
    <w:rsid w:val="003854A7"/>
    <w:rsid w:val="00387DAE"/>
    <w:rsid w:val="00396D8D"/>
    <w:rsid w:val="00397B55"/>
    <w:rsid w:val="003A0136"/>
    <w:rsid w:val="003B02CE"/>
    <w:rsid w:val="003C2A6B"/>
    <w:rsid w:val="003C6472"/>
    <w:rsid w:val="003E23D6"/>
    <w:rsid w:val="003E393C"/>
    <w:rsid w:val="003E4140"/>
    <w:rsid w:val="003E5F38"/>
    <w:rsid w:val="003E6F69"/>
    <w:rsid w:val="003F1216"/>
    <w:rsid w:val="003F5F64"/>
    <w:rsid w:val="003F6B4C"/>
    <w:rsid w:val="00407D00"/>
    <w:rsid w:val="00410686"/>
    <w:rsid w:val="00410D82"/>
    <w:rsid w:val="00413FCF"/>
    <w:rsid w:val="00415A4A"/>
    <w:rsid w:val="0042061A"/>
    <w:rsid w:val="0042121D"/>
    <w:rsid w:val="00427F26"/>
    <w:rsid w:val="00442794"/>
    <w:rsid w:val="004436F4"/>
    <w:rsid w:val="00451562"/>
    <w:rsid w:val="00454515"/>
    <w:rsid w:val="0045565E"/>
    <w:rsid w:val="00457562"/>
    <w:rsid w:val="00463CD1"/>
    <w:rsid w:val="0046676D"/>
    <w:rsid w:val="0047517C"/>
    <w:rsid w:val="00475343"/>
    <w:rsid w:val="00481BC8"/>
    <w:rsid w:val="00484845"/>
    <w:rsid w:val="00485DE1"/>
    <w:rsid w:val="00487201"/>
    <w:rsid w:val="00490350"/>
    <w:rsid w:val="00491F0F"/>
    <w:rsid w:val="00496AFB"/>
    <w:rsid w:val="004A353D"/>
    <w:rsid w:val="004A455D"/>
    <w:rsid w:val="004A5CD7"/>
    <w:rsid w:val="004B2933"/>
    <w:rsid w:val="004B389B"/>
    <w:rsid w:val="004C4475"/>
    <w:rsid w:val="004C573E"/>
    <w:rsid w:val="004D0A36"/>
    <w:rsid w:val="004E29C8"/>
    <w:rsid w:val="004F6A0E"/>
    <w:rsid w:val="004F796E"/>
    <w:rsid w:val="00500474"/>
    <w:rsid w:val="0050071B"/>
    <w:rsid w:val="00505E63"/>
    <w:rsid w:val="005128A6"/>
    <w:rsid w:val="005208D7"/>
    <w:rsid w:val="00522B84"/>
    <w:rsid w:val="005258D5"/>
    <w:rsid w:val="00526233"/>
    <w:rsid w:val="005274F0"/>
    <w:rsid w:val="00532AEA"/>
    <w:rsid w:val="00536B31"/>
    <w:rsid w:val="005373A7"/>
    <w:rsid w:val="0054106C"/>
    <w:rsid w:val="00542F26"/>
    <w:rsid w:val="00543107"/>
    <w:rsid w:val="0054703F"/>
    <w:rsid w:val="0055026D"/>
    <w:rsid w:val="005623B8"/>
    <w:rsid w:val="005755E7"/>
    <w:rsid w:val="00575AEC"/>
    <w:rsid w:val="00576A92"/>
    <w:rsid w:val="005858AA"/>
    <w:rsid w:val="00593A42"/>
    <w:rsid w:val="0059465C"/>
    <w:rsid w:val="00596061"/>
    <w:rsid w:val="005A1922"/>
    <w:rsid w:val="005A5D72"/>
    <w:rsid w:val="005B2175"/>
    <w:rsid w:val="005B5A05"/>
    <w:rsid w:val="005B5E29"/>
    <w:rsid w:val="005C373C"/>
    <w:rsid w:val="005D22C7"/>
    <w:rsid w:val="005D7CA9"/>
    <w:rsid w:val="005E38CE"/>
    <w:rsid w:val="005E510E"/>
    <w:rsid w:val="00600A9F"/>
    <w:rsid w:val="00604D1A"/>
    <w:rsid w:val="006107ED"/>
    <w:rsid w:val="00613803"/>
    <w:rsid w:val="006218A3"/>
    <w:rsid w:val="00624021"/>
    <w:rsid w:val="00625659"/>
    <w:rsid w:val="00635918"/>
    <w:rsid w:val="00635A8F"/>
    <w:rsid w:val="006404C1"/>
    <w:rsid w:val="0064103E"/>
    <w:rsid w:val="00641E46"/>
    <w:rsid w:val="00646BE9"/>
    <w:rsid w:val="006500D0"/>
    <w:rsid w:val="0065481F"/>
    <w:rsid w:val="006607AA"/>
    <w:rsid w:val="00660F87"/>
    <w:rsid w:val="0067243F"/>
    <w:rsid w:val="00672A2D"/>
    <w:rsid w:val="00673BC4"/>
    <w:rsid w:val="00677AC5"/>
    <w:rsid w:val="00686873"/>
    <w:rsid w:val="006927EC"/>
    <w:rsid w:val="006934E9"/>
    <w:rsid w:val="00694CED"/>
    <w:rsid w:val="00697CC5"/>
    <w:rsid w:val="006A2CA3"/>
    <w:rsid w:val="006B5131"/>
    <w:rsid w:val="006B7E8D"/>
    <w:rsid w:val="006C3986"/>
    <w:rsid w:val="006D25EB"/>
    <w:rsid w:val="006D6228"/>
    <w:rsid w:val="006E5C31"/>
    <w:rsid w:val="006E72A2"/>
    <w:rsid w:val="006F0867"/>
    <w:rsid w:val="006F1333"/>
    <w:rsid w:val="006F6693"/>
    <w:rsid w:val="006F7218"/>
    <w:rsid w:val="0070579F"/>
    <w:rsid w:val="007208C1"/>
    <w:rsid w:val="0073059A"/>
    <w:rsid w:val="00733EF6"/>
    <w:rsid w:val="00747E6B"/>
    <w:rsid w:val="007802E5"/>
    <w:rsid w:val="0078287A"/>
    <w:rsid w:val="00783496"/>
    <w:rsid w:val="00790600"/>
    <w:rsid w:val="00792716"/>
    <w:rsid w:val="007962AA"/>
    <w:rsid w:val="007A0B89"/>
    <w:rsid w:val="007A62BB"/>
    <w:rsid w:val="007A6FA2"/>
    <w:rsid w:val="007B5945"/>
    <w:rsid w:val="007C03BE"/>
    <w:rsid w:val="007C0B4B"/>
    <w:rsid w:val="007C516C"/>
    <w:rsid w:val="007D2848"/>
    <w:rsid w:val="007F058E"/>
    <w:rsid w:val="0080152F"/>
    <w:rsid w:val="00801F73"/>
    <w:rsid w:val="00806A53"/>
    <w:rsid w:val="0081369F"/>
    <w:rsid w:val="00817552"/>
    <w:rsid w:val="00817C4D"/>
    <w:rsid w:val="008324D9"/>
    <w:rsid w:val="00833137"/>
    <w:rsid w:val="008366E5"/>
    <w:rsid w:val="00843877"/>
    <w:rsid w:val="00844207"/>
    <w:rsid w:val="0084529F"/>
    <w:rsid w:val="00854A49"/>
    <w:rsid w:val="00854B3D"/>
    <w:rsid w:val="008551DF"/>
    <w:rsid w:val="008577BF"/>
    <w:rsid w:val="00863208"/>
    <w:rsid w:val="00865FBB"/>
    <w:rsid w:val="00873262"/>
    <w:rsid w:val="00874D1D"/>
    <w:rsid w:val="008812FD"/>
    <w:rsid w:val="008826E9"/>
    <w:rsid w:val="0088421D"/>
    <w:rsid w:val="0088684A"/>
    <w:rsid w:val="00895BDB"/>
    <w:rsid w:val="008A561D"/>
    <w:rsid w:val="008B3FA6"/>
    <w:rsid w:val="008C1B41"/>
    <w:rsid w:val="008C39CE"/>
    <w:rsid w:val="008C3D75"/>
    <w:rsid w:val="008C5861"/>
    <w:rsid w:val="008D0A5C"/>
    <w:rsid w:val="008D18E0"/>
    <w:rsid w:val="008E789D"/>
    <w:rsid w:val="008F3A44"/>
    <w:rsid w:val="008F42EA"/>
    <w:rsid w:val="0090042F"/>
    <w:rsid w:val="009009DD"/>
    <w:rsid w:val="0090112A"/>
    <w:rsid w:val="00902747"/>
    <w:rsid w:val="0091392A"/>
    <w:rsid w:val="009159B9"/>
    <w:rsid w:val="00916ED4"/>
    <w:rsid w:val="00923DA5"/>
    <w:rsid w:val="009267F4"/>
    <w:rsid w:val="00934201"/>
    <w:rsid w:val="00946981"/>
    <w:rsid w:val="009515CD"/>
    <w:rsid w:val="0097670D"/>
    <w:rsid w:val="00982515"/>
    <w:rsid w:val="00991035"/>
    <w:rsid w:val="00991222"/>
    <w:rsid w:val="00994A85"/>
    <w:rsid w:val="00995600"/>
    <w:rsid w:val="00995FB9"/>
    <w:rsid w:val="009960B9"/>
    <w:rsid w:val="009963EC"/>
    <w:rsid w:val="00997EDB"/>
    <w:rsid w:val="009A1142"/>
    <w:rsid w:val="009A3151"/>
    <w:rsid w:val="009A3F1E"/>
    <w:rsid w:val="009B4623"/>
    <w:rsid w:val="009B77BD"/>
    <w:rsid w:val="009C063F"/>
    <w:rsid w:val="009C4C90"/>
    <w:rsid w:val="009E304F"/>
    <w:rsid w:val="009F043A"/>
    <w:rsid w:val="009F179C"/>
    <w:rsid w:val="009F32D9"/>
    <w:rsid w:val="009F5BD0"/>
    <w:rsid w:val="009F66BC"/>
    <w:rsid w:val="00A06ACD"/>
    <w:rsid w:val="00A176C8"/>
    <w:rsid w:val="00A20FBE"/>
    <w:rsid w:val="00A2619E"/>
    <w:rsid w:val="00A26DA2"/>
    <w:rsid w:val="00A31CC2"/>
    <w:rsid w:val="00A32E09"/>
    <w:rsid w:val="00A3407E"/>
    <w:rsid w:val="00A42825"/>
    <w:rsid w:val="00A54E0C"/>
    <w:rsid w:val="00A60A64"/>
    <w:rsid w:val="00A71AC4"/>
    <w:rsid w:val="00A80B11"/>
    <w:rsid w:val="00A822E3"/>
    <w:rsid w:val="00A85922"/>
    <w:rsid w:val="00A866EB"/>
    <w:rsid w:val="00A9060D"/>
    <w:rsid w:val="00A95068"/>
    <w:rsid w:val="00A967CD"/>
    <w:rsid w:val="00A974E0"/>
    <w:rsid w:val="00AB4B88"/>
    <w:rsid w:val="00AC0854"/>
    <w:rsid w:val="00AC3DCF"/>
    <w:rsid w:val="00AC6751"/>
    <w:rsid w:val="00AC6ABB"/>
    <w:rsid w:val="00AD106D"/>
    <w:rsid w:val="00AD4F6A"/>
    <w:rsid w:val="00AD5DAE"/>
    <w:rsid w:val="00AE5381"/>
    <w:rsid w:val="00AE65E4"/>
    <w:rsid w:val="00AE6D6E"/>
    <w:rsid w:val="00B005F5"/>
    <w:rsid w:val="00B06BB1"/>
    <w:rsid w:val="00B249E3"/>
    <w:rsid w:val="00B2609A"/>
    <w:rsid w:val="00B3694B"/>
    <w:rsid w:val="00B43779"/>
    <w:rsid w:val="00B471A0"/>
    <w:rsid w:val="00B663B1"/>
    <w:rsid w:val="00B7045E"/>
    <w:rsid w:val="00B709C0"/>
    <w:rsid w:val="00B80229"/>
    <w:rsid w:val="00B83040"/>
    <w:rsid w:val="00B86206"/>
    <w:rsid w:val="00B9130C"/>
    <w:rsid w:val="00B93D45"/>
    <w:rsid w:val="00B9757A"/>
    <w:rsid w:val="00BB0C6D"/>
    <w:rsid w:val="00BB65D6"/>
    <w:rsid w:val="00BC0E5D"/>
    <w:rsid w:val="00BC32A8"/>
    <w:rsid w:val="00BD57F4"/>
    <w:rsid w:val="00BE1B9F"/>
    <w:rsid w:val="00BE2096"/>
    <w:rsid w:val="00BE283B"/>
    <w:rsid w:val="00BE313E"/>
    <w:rsid w:val="00BF0DBA"/>
    <w:rsid w:val="00BF635A"/>
    <w:rsid w:val="00BF7569"/>
    <w:rsid w:val="00C06638"/>
    <w:rsid w:val="00C17533"/>
    <w:rsid w:val="00C2456F"/>
    <w:rsid w:val="00C50F98"/>
    <w:rsid w:val="00C7472A"/>
    <w:rsid w:val="00C74BC8"/>
    <w:rsid w:val="00C759A7"/>
    <w:rsid w:val="00C80CB9"/>
    <w:rsid w:val="00C856D1"/>
    <w:rsid w:val="00C90E3C"/>
    <w:rsid w:val="00C94837"/>
    <w:rsid w:val="00C94FEF"/>
    <w:rsid w:val="00CA0986"/>
    <w:rsid w:val="00CA2893"/>
    <w:rsid w:val="00CA2C5C"/>
    <w:rsid w:val="00CA6F7F"/>
    <w:rsid w:val="00CB015D"/>
    <w:rsid w:val="00CB1C90"/>
    <w:rsid w:val="00CC0FC6"/>
    <w:rsid w:val="00CC1907"/>
    <w:rsid w:val="00CC1BDE"/>
    <w:rsid w:val="00CD0385"/>
    <w:rsid w:val="00CD1DE3"/>
    <w:rsid w:val="00CD46C7"/>
    <w:rsid w:val="00CE0618"/>
    <w:rsid w:val="00CE7C4A"/>
    <w:rsid w:val="00CF37D5"/>
    <w:rsid w:val="00D016FA"/>
    <w:rsid w:val="00D04E61"/>
    <w:rsid w:val="00D0638F"/>
    <w:rsid w:val="00D11914"/>
    <w:rsid w:val="00D12267"/>
    <w:rsid w:val="00D20A75"/>
    <w:rsid w:val="00D238B6"/>
    <w:rsid w:val="00D30C77"/>
    <w:rsid w:val="00D44548"/>
    <w:rsid w:val="00D4490F"/>
    <w:rsid w:val="00D46297"/>
    <w:rsid w:val="00D46C69"/>
    <w:rsid w:val="00D50597"/>
    <w:rsid w:val="00D567C7"/>
    <w:rsid w:val="00D603E6"/>
    <w:rsid w:val="00D64A23"/>
    <w:rsid w:val="00D702F2"/>
    <w:rsid w:val="00D77416"/>
    <w:rsid w:val="00D81B56"/>
    <w:rsid w:val="00D87240"/>
    <w:rsid w:val="00DA75CE"/>
    <w:rsid w:val="00DB5B0E"/>
    <w:rsid w:val="00DB7FA8"/>
    <w:rsid w:val="00DC2763"/>
    <w:rsid w:val="00DC5572"/>
    <w:rsid w:val="00DD7892"/>
    <w:rsid w:val="00DD7EE2"/>
    <w:rsid w:val="00DF161A"/>
    <w:rsid w:val="00E11A7C"/>
    <w:rsid w:val="00E16BAE"/>
    <w:rsid w:val="00E2691B"/>
    <w:rsid w:val="00E30EB6"/>
    <w:rsid w:val="00E319A9"/>
    <w:rsid w:val="00E45F3D"/>
    <w:rsid w:val="00E4669C"/>
    <w:rsid w:val="00E51B61"/>
    <w:rsid w:val="00E5659D"/>
    <w:rsid w:val="00E7156A"/>
    <w:rsid w:val="00E75A64"/>
    <w:rsid w:val="00E92EA0"/>
    <w:rsid w:val="00E9367B"/>
    <w:rsid w:val="00E93939"/>
    <w:rsid w:val="00EA2346"/>
    <w:rsid w:val="00EA2A8C"/>
    <w:rsid w:val="00EA5D86"/>
    <w:rsid w:val="00EB2E3A"/>
    <w:rsid w:val="00EB4F34"/>
    <w:rsid w:val="00EB6F29"/>
    <w:rsid w:val="00ED07AC"/>
    <w:rsid w:val="00ED131E"/>
    <w:rsid w:val="00ED4DF2"/>
    <w:rsid w:val="00ED7907"/>
    <w:rsid w:val="00EE4029"/>
    <w:rsid w:val="00EE4C17"/>
    <w:rsid w:val="00EF2FCE"/>
    <w:rsid w:val="00EF55D7"/>
    <w:rsid w:val="00F008E3"/>
    <w:rsid w:val="00F158BD"/>
    <w:rsid w:val="00F25089"/>
    <w:rsid w:val="00F41B16"/>
    <w:rsid w:val="00F64893"/>
    <w:rsid w:val="00F679B2"/>
    <w:rsid w:val="00F7330E"/>
    <w:rsid w:val="00F74F22"/>
    <w:rsid w:val="00F900FE"/>
    <w:rsid w:val="00F90A1A"/>
    <w:rsid w:val="00F92ECE"/>
    <w:rsid w:val="00FB26D3"/>
    <w:rsid w:val="00FB4946"/>
    <w:rsid w:val="00FE2EAC"/>
    <w:rsid w:val="00FF0B26"/>
    <w:rsid w:val="00FF68FE"/>
    <w:rsid w:val="1FDC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369B3A"/>
  <w15:chartTrackingRefBased/>
  <w15:docId w15:val="{9C3BED1D-4BBF-4B79-A6C5-75B68EED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622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D62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228"/>
  </w:style>
  <w:style w:type="paragraph" w:styleId="Footer">
    <w:name w:val="footer"/>
    <w:basedOn w:val="Normal"/>
    <w:link w:val="FooterChar"/>
    <w:uiPriority w:val="99"/>
    <w:unhideWhenUsed/>
    <w:rsid w:val="006D62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228"/>
  </w:style>
  <w:style w:type="paragraph" w:customStyle="1" w:styleId="HeaderEven">
    <w:name w:val="Header Even"/>
    <w:basedOn w:val="NoSpacing"/>
    <w:qFormat/>
    <w:rsid w:val="006D6228"/>
    <w:pPr>
      <w:pBdr>
        <w:bottom w:val="single" w:sz="4" w:space="1" w:color="4F81BD"/>
      </w:pBdr>
    </w:pPr>
    <w:rPr>
      <w:rFonts w:ascii="Calibri" w:eastAsia="Calibri" w:hAnsi="Calibri" w:cs="Times New Roman"/>
      <w:b/>
      <w:color w:val="1F497D"/>
      <w:sz w:val="20"/>
      <w:szCs w:val="20"/>
      <w:lang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62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62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622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D6228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1434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1434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14342"/>
    <w:rPr>
      <w:vertAlign w:val="superscript"/>
    </w:rPr>
  </w:style>
  <w:style w:type="paragraph" w:styleId="ListParagraph">
    <w:name w:val="List Paragraph"/>
    <w:basedOn w:val="Normal"/>
    <w:uiPriority w:val="34"/>
    <w:qFormat/>
    <w:rsid w:val="001143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E5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59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59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59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590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9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0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E2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D0638F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74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hart" Target="charts/chart4.xm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hart" Target="charts/chart1.xml"/><Relationship Id="rId9" Type="http://schemas.openxmlformats.org/officeDocument/2006/relationships/chart" Target="charts/chart2.xml"/><Relationship Id="rId10" Type="http://schemas.openxmlformats.org/officeDocument/2006/relationships/chart" Target="charts/chart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sw.org/uploads/tx_aedswpublication/family-planning-kenya_update.pdf" TargetMode="External"/><Relationship Id="rId4" Type="http://schemas.openxmlformats.org/officeDocument/2006/relationships/hyperlink" Target="http://www.tupange.or.ke/sites/g/files/g460412/f/201301/Tupange%20Newsletter%20Issue%204.pdf" TargetMode="External"/><Relationship Id="rId5" Type="http://schemas.openxmlformats.org/officeDocument/2006/relationships/hyperlink" Target="http://www.un.org/sustainabledevelopment/gender-equality/" TargetMode="External"/><Relationship Id="rId6" Type="http://schemas.openxmlformats.org/officeDocument/2006/relationships/hyperlink" Target="http://www.un.org/sustainabledevelopment/inequality/" TargetMode="External"/><Relationship Id="rId7" Type="http://schemas.openxmlformats.org/officeDocument/2006/relationships/hyperlink" Target="https://web.archive.org/web/20130810185221/http://www.knbs.or.ke/docs/PresentationbyMinisterforPlanningrevised.pdf" TargetMode="External"/><Relationship Id="rId8" Type="http://schemas.openxmlformats.org/officeDocument/2006/relationships/hyperlink" Target="http://www.pathfinder.org/publications-tools/pdfs/Increasing-Access-to-Quality-Health-Services-in-Kenyas-North-Eastern-Province.pdf" TargetMode="External"/><Relationship Id="rId9" Type="http://schemas.openxmlformats.org/officeDocument/2006/relationships/hyperlink" Target="http://library.fes.de/pdf-files/bueros/kenia/09859.pdf" TargetMode="External"/><Relationship Id="rId10" Type="http://schemas.openxmlformats.org/officeDocument/2006/relationships/hyperlink" Target="http://www.familyplanning2020.org/entities/77" TargetMode="External"/><Relationship Id="rId1" Type="http://schemas.openxmlformats.org/officeDocument/2006/relationships/hyperlink" Target="http://www.who.int/topics/family_planning/en/" TargetMode="External"/><Relationship Id="rId2" Type="http://schemas.openxmlformats.org/officeDocument/2006/relationships/hyperlink" Target="http://dhsprogram.com/pubs/pdf/FR308/FR308.pdf,%2020%20de%20junio%20del%20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microsoft.com/office/2011/relationships/chartStyle" Target="style1.xml"/><Relationship Id="rId2" Type="http://schemas.microsoft.com/office/2011/relationships/chartColorStyle" Target="colors1.xml"/><Relationship Id="rId3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microsoft.com/office/2011/relationships/chartStyle" Target="style2.xml"/><Relationship Id="rId2" Type="http://schemas.microsoft.com/office/2011/relationships/chartColorStyle" Target="colors2.xml"/><Relationship Id="rId3" Type="http://schemas.openxmlformats.org/officeDocument/2006/relationships/oleObject" Target="file:///\\prb.org\files\Central%20Files-IP\PACE\R1%20Capacity%20Building\Policy%20Communications%20Toolkit\Policy%20Communication%20case%20study%20resources\Kenya%20Case%20Study\Kenya%20Graph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microsoft.com/office/2011/relationships/chartStyle" Target="style3.xml"/><Relationship Id="rId2" Type="http://schemas.microsoft.com/office/2011/relationships/chartColorStyle" Target="colors3.xml"/><Relationship Id="rId3" Type="http://schemas.openxmlformats.org/officeDocument/2006/relationships/oleObject" Target="file:///\\prb.org\files\Central%20Files-IP\PACE\R1%20Capacity%20Building\Policy%20Communications%20Toolkit\Policy%20Communication%20case%20study%20resources\Kenya%20Case%20Study\Kenya%20Graphs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microsoft.com/office/2011/relationships/chartStyle" Target="style4.xml"/><Relationship Id="rId2" Type="http://schemas.microsoft.com/office/2011/relationships/chartColorStyle" Target="colors4.xml"/><Relationship Id="rId3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Uso Actual</a:t>
            </a:r>
            <a:r>
              <a:rPr lang="en-US" baseline="0"/>
              <a:t> de Métodos Anticonceptivos Modernos por Región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Sheet1!$A$2:$A$9</c:f>
              <c:strCache>
                <c:ptCount val="8"/>
                <c:pt idx="0">
                  <c:v>Coast</c:v>
                </c:pt>
                <c:pt idx="1">
                  <c:v>North Eastern</c:v>
                </c:pt>
                <c:pt idx="2">
                  <c:v>Eastern</c:v>
                </c:pt>
                <c:pt idx="3">
                  <c:v>Central</c:v>
                </c:pt>
                <c:pt idx="4">
                  <c:v>Rift Valley</c:v>
                </c:pt>
                <c:pt idx="5">
                  <c:v>Western</c:v>
                </c:pt>
                <c:pt idx="6">
                  <c:v>Nyanza</c:v>
                </c:pt>
                <c:pt idx="7">
                  <c:v>Nairobi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38.3</c:v>
                </c:pt>
                <c:pt idx="1">
                  <c:v>3.4</c:v>
                </c:pt>
                <c:pt idx="2">
                  <c:v>70.4</c:v>
                </c:pt>
                <c:pt idx="3">
                  <c:v>72.8</c:v>
                </c:pt>
                <c:pt idx="4">
                  <c:v>52.8</c:v>
                </c:pt>
                <c:pt idx="5">
                  <c:v>58.6</c:v>
                </c:pt>
                <c:pt idx="6">
                  <c:v>56.4</c:v>
                </c:pt>
                <c:pt idx="7">
                  <c:v>62.6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C5B-49E5-8A5B-01537F84B8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2146577584"/>
        <c:axId val="-2114114160"/>
      </c:barChart>
      <c:catAx>
        <c:axId val="-2146577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114114160"/>
        <c:crosses val="autoZero"/>
        <c:auto val="1"/>
        <c:lblAlgn val="ctr"/>
        <c:lblOffset val="100"/>
        <c:noMultiLvlLbl val="0"/>
      </c:catAx>
      <c:valAx>
        <c:axId val="-21141141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1465775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Necesidad</a:t>
            </a:r>
            <a:r>
              <a:rPr lang="en-US" baseline="0"/>
              <a:t> insatisfecha de Planificación Familiar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Sheet1!$A$50:$A$58</c:f>
              <c:strCache>
                <c:ptCount val="9"/>
                <c:pt idx="0">
                  <c:v>Coast</c:v>
                </c:pt>
                <c:pt idx="1">
                  <c:v>North Eastern</c:v>
                </c:pt>
                <c:pt idx="2">
                  <c:v>Eastern</c:v>
                </c:pt>
                <c:pt idx="3">
                  <c:v>Central</c:v>
                </c:pt>
                <c:pt idx="4">
                  <c:v>Rift Valley</c:v>
                </c:pt>
                <c:pt idx="5">
                  <c:v>Western</c:v>
                </c:pt>
                <c:pt idx="6">
                  <c:v>Nyanza</c:v>
                </c:pt>
                <c:pt idx="7">
                  <c:v>Nairobi</c:v>
                </c:pt>
                <c:pt idx="8">
                  <c:v>National Average</c:v>
                </c:pt>
              </c:strCache>
            </c:strRef>
          </c:cat>
          <c:val>
            <c:numRef>
              <c:f>Sheet1!$B$50:$B$58</c:f>
              <c:numCache>
                <c:formatCode>General</c:formatCode>
                <c:ptCount val="9"/>
                <c:pt idx="0">
                  <c:v>12.3</c:v>
                </c:pt>
                <c:pt idx="1">
                  <c:v>27.2</c:v>
                </c:pt>
                <c:pt idx="2">
                  <c:v>4.0</c:v>
                </c:pt>
                <c:pt idx="3">
                  <c:v>3.0</c:v>
                </c:pt>
                <c:pt idx="4">
                  <c:v>11.1</c:v>
                </c:pt>
                <c:pt idx="5">
                  <c:v>11.0</c:v>
                </c:pt>
                <c:pt idx="6">
                  <c:v>12.6</c:v>
                </c:pt>
                <c:pt idx="7">
                  <c:v>6.3</c:v>
                </c:pt>
                <c:pt idx="8">
                  <c:v>9.200000000000001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27B-4D80-983F-D36601FAAF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2096856416"/>
        <c:axId val="-2012380352"/>
      </c:barChart>
      <c:catAx>
        <c:axId val="-2096856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12380352"/>
        <c:crosses val="autoZero"/>
        <c:auto val="1"/>
        <c:lblAlgn val="ctr"/>
        <c:lblOffset val="100"/>
        <c:noMultiLvlLbl val="0"/>
      </c:catAx>
      <c:valAx>
        <c:axId val="-2012380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96856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Tasa</a:t>
            </a:r>
            <a:r>
              <a:rPr lang="en-US" baseline="0"/>
              <a:t> </a:t>
            </a:r>
            <a:r>
              <a:rPr lang="en-US"/>
              <a:t>Total de Fecundidad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'[Kenya Graphs.xlsx]Sheet1'!$L$7:$L$11</c:f>
              <c:strCache>
                <c:ptCount val="5"/>
                <c:pt idx="0">
                  <c:v>National Average</c:v>
                </c:pt>
                <c:pt idx="1">
                  <c:v>Northeast Region</c:v>
                </c:pt>
                <c:pt idx="2">
                  <c:v>Garissa</c:v>
                </c:pt>
                <c:pt idx="3">
                  <c:v>Wajir</c:v>
                </c:pt>
                <c:pt idx="4">
                  <c:v>Mandera</c:v>
                </c:pt>
              </c:strCache>
            </c:strRef>
          </c:cat>
          <c:val>
            <c:numRef>
              <c:f>'[Kenya Graphs.xlsx]Sheet1'!$M$7:$M$11</c:f>
              <c:numCache>
                <c:formatCode>General</c:formatCode>
                <c:ptCount val="5"/>
                <c:pt idx="0">
                  <c:v>3.9</c:v>
                </c:pt>
                <c:pt idx="1">
                  <c:v>6.4</c:v>
                </c:pt>
                <c:pt idx="2">
                  <c:v>6.1</c:v>
                </c:pt>
                <c:pt idx="3">
                  <c:v>7.8</c:v>
                </c:pt>
                <c:pt idx="4">
                  <c:v>5.2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7CD-4AB8-A4CD-1EB2CA7D3F5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2079528048"/>
        <c:axId val="-2012464384"/>
      </c:barChart>
      <c:catAx>
        <c:axId val="-2079528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12464384"/>
        <c:crosses val="autoZero"/>
        <c:auto val="1"/>
        <c:lblAlgn val="ctr"/>
        <c:lblOffset val="100"/>
        <c:noMultiLvlLbl val="0"/>
      </c:catAx>
      <c:valAx>
        <c:axId val="-2012464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795280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Proveedor de Atención</a:t>
            </a:r>
            <a:r>
              <a:rPr lang="en-US" baseline="0"/>
              <a:t> Prenatal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Sheet1!$B$27</c:f>
              <c:strCache>
                <c:ptCount val="1"/>
                <c:pt idx="0">
                  <c:v>Northeast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Sheet1!$A$28:$A$31</c:f>
              <c:strCache>
                <c:ptCount val="4"/>
                <c:pt idx="0">
                  <c:v>Doctor</c:v>
                </c:pt>
                <c:pt idx="1">
                  <c:v>Nurse/Midwife</c:v>
                </c:pt>
                <c:pt idx="2">
                  <c:v>CHW</c:v>
                </c:pt>
                <c:pt idx="3">
                  <c:v>No ANC</c:v>
                </c:pt>
              </c:strCache>
            </c:strRef>
          </c:cat>
          <c:val>
            <c:numRef>
              <c:f>Sheet1!$B$28:$B$31</c:f>
              <c:numCache>
                <c:formatCode>General</c:formatCode>
                <c:ptCount val="4"/>
                <c:pt idx="0">
                  <c:v>9.200000000000001</c:v>
                </c:pt>
                <c:pt idx="1">
                  <c:v>57.4</c:v>
                </c:pt>
                <c:pt idx="2">
                  <c:v>7.7</c:v>
                </c:pt>
                <c:pt idx="3">
                  <c:v>24.9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0EF-4BF6-B67F-4EC6CAC098F5}"/>
            </c:ext>
          </c:extLst>
        </c:ser>
        <c:ser>
          <c:idx val="1"/>
          <c:order val="1"/>
          <c:tx>
            <c:strRef>
              <c:f>Sheet1!$C$27</c:f>
              <c:strCache>
                <c:ptCount val="1"/>
                <c:pt idx="0">
                  <c:v>National Average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Sheet1!$A$28:$A$31</c:f>
              <c:strCache>
                <c:ptCount val="4"/>
                <c:pt idx="0">
                  <c:v>Doctor</c:v>
                </c:pt>
                <c:pt idx="1">
                  <c:v>Nurse/Midwife</c:v>
                </c:pt>
                <c:pt idx="2">
                  <c:v>CHW</c:v>
                </c:pt>
                <c:pt idx="3">
                  <c:v>No ANC</c:v>
                </c:pt>
              </c:strCache>
            </c:strRef>
          </c:cat>
          <c:val>
            <c:numRef>
              <c:f>Sheet1!$C$28:$C$31</c:f>
              <c:numCache>
                <c:formatCode>General</c:formatCode>
                <c:ptCount val="4"/>
                <c:pt idx="0">
                  <c:v>44.8</c:v>
                </c:pt>
                <c:pt idx="1">
                  <c:v>52.8</c:v>
                </c:pt>
                <c:pt idx="2">
                  <c:v>0.5</c:v>
                </c:pt>
                <c:pt idx="3">
                  <c:v>3.9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0EF-4BF6-B67F-4EC6CAC098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2119193600"/>
        <c:axId val="-2095921952"/>
      </c:barChart>
      <c:catAx>
        <c:axId val="-2119193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95921952"/>
        <c:crosses val="autoZero"/>
        <c:auto val="1"/>
        <c:lblAlgn val="ctr"/>
        <c:lblOffset val="100"/>
        <c:noMultiLvlLbl val="0"/>
      </c:catAx>
      <c:valAx>
        <c:axId val="-2095921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119193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WHO</b:Tag>
    <b:SourceType>InternetSite</b:SourceType>
    <b:Guid>{6E68FAD2-BCFE-4703-BE8F-AFCD1257FA55}</b:Guid>
    <b:Title>Family Planning</b:Title>
    <b:Author>
      <b:Author>
        <b:NameList>
          <b:Person>
            <b:Last>WHO</b:Last>
          </b:Person>
        </b:NameList>
      </b:Author>
    </b:Author>
    <b:InternetSiteTitle>World Health Organization</b:InternetSiteTitle>
    <b:URL>http://www.who.int/topics/family_planning/en/</b:URL>
    <b:RefOrder>1</b:RefOrder>
  </b:Source>
</b:Sources>
</file>

<file path=customXml/itemProps1.xml><?xml version="1.0" encoding="utf-8"?>
<ds:datastoreItem xmlns:ds="http://schemas.openxmlformats.org/officeDocument/2006/customXml" ds:itemID="{5D4BDE4E-D252-8C4C-9C7B-743FF1C90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1550</Words>
  <Characters>8836</Characters>
  <Application>Microsoft Macintosh Word</Application>
  <DocSecurity>0</DocSecurity>
  <Lines>73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Rigsby</dc:creator>
  <cp:keywords/>
  <dc:description/>
  <cp:lastModifiedBy>Gabriela Sanchez-Soto</cp:lastModifiedBy>
  <cp:revision>3</cp:revision>
  <dcterms:created xsi:type="dcterms:W3CDTF">2018-09-20T05:51:00Z</dcterms:created>
  <dcterms:modified xsi:type="dcterms:W3CDTF">2019-02-03T22:57:00Z</dcterms:modified>
</cp:coreProperties>
</file>