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68" w:rsidRPr="00194FB7" w:rsidRDefault="008C20F3" w:rsidP="002C2300">
      <w:pPr>
        <w:ind w:right="-720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CAFA8D" wp14:editId="77FAA246">
                <wp:simplePos x="0" y="0"/>
                <wp:positionH relativeFrom="margin">
                  <wp:posOffset>-381000</wp:posOffset>
                </wp:positionH>
                <wp:positionV relativeFrom="paragraph">
                  <wp:posOffset>1270</wp:posOffset>
                </wp:positionV>
                <wp:extent cx="6229350" cy="2419350"/>
                <wp:effectExtent l="0" t="0" r="19050" b="1905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0" cy="2419350"/>
                          <a:chOff x="0" y="0"/>
                          <a:chExt cx="5847715" cy="184404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9525" y="495300"/>
                            <a:ext cx="5838189" cy="558165"/>
                            <a:chOff x="7670" y="0"/>
                            <a:chExt cx="4701379" cy="558165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0" y="9525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B4F4D" w:rsidRPr="00871336" w:rsidRDefault="002B4F4D" w:rsidP="002B4F4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87133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:rsidR="008C20F3" w:rsidRPr="002B4F4D" w:rsidRDefault="002B4F4D" w:rsidP="002B4F4D">
                                <w:pPr>
                                  <w:jc w:val="both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  <w:lang w:val="es-NI"/>
                                  </w:rPr>
                                </w:pPr>
                                <w:r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Las Negociaciones y la Rendici</w:t>
                                </w:r>
                                <w:r w:rsidR="00B83FC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ó</w:t>
                                </w:r>
                                <w:r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n de Cuentas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20F3" w:rsidRPr="002B4F4D" w:rsidRDefault="008C20F3" w:rsidP="008C20F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2B4F4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2B4F4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8C20F3" w:rsidRPr="002B4F4D" w:rsidRDefault="008C20F3" w:rsidP="008C20F3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2B4F4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</w:t>
                                </w:r>
                                <w:r w:rsidR="002B4F4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675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20F3" w:rsidRPr="002B4F4D" w:rsidRDefault="008476E4" w:rsidP="008C20F3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</w:t>
                              </w:r>
                              <w:r w:rsidR="002B4F4D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</w:t>
                              </w:r>
                            </w:p>
                            <w:p w:rsidR="008C20F3" w:rsidRPr="002B4F4D" w:rsidRDefault="002B4F4D" w:rsidP="00ED1DD0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87133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a cumplir los objetivos de aprendizaje del módulo al describir los preceptos de la negociación exitosa cuando se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aplican al proceso de políticas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20F3" w:rsidRPr="00DA7C94" w:rsidRDefault="00D76BDF" w:rsidP="008C20F3">
                              <w:pPr>
                                <w:rPr>
                                  <w:rFonts w:ascii="Arial" w:hAnsi="Arial" w:cs="Arial"/>
                                  <w:sz w:val="28"/>
                                  <w:szCs w:val="32"/>
                                  <w:lang w:val="es-NI"/>
                                </w:rPr>
                              </w:pPr>
                              <w:r w:rsidRPr="00DA7C94">
                                <w:rPr>
                                  <w:rFonts w:ascii="Arial" w:hAnsi="Arial" w:cs="Arial"/>
                                  <w:b/>
                                  <w:bCs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>¿Cómo puede influenciar la investigación a la negociación?</w:t>
                              </w:r>
                              <w:r w:rsidR="008C20F3" w:rsidRPr="00DA7C94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 xml:space="preserve"> (NA2L)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CAFA8D" id="Group 1" o:spid="_x0000_s1026" style="position:absolute;left:0;text-align:left;margin-left:-30pt;margin-top:.1pt;width:490.5pt;height:190.5pt;z-index:251659264;mso-position-horizontal-relative:margin;mso-width-relative:margin;mso-height-relative:margin" coordsize="58477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">
                <v:group id="Group 2" o:spid="_x0000_s1027" style="position:absolute;left:95;top:4953;width:58382;height:5581" coordorigin="76" coordsize="47013,5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95;width:22295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2B4F4D" w:rsidRPr="00871336" w:rsidRDefault="002B4F4D" w:rsidP="002B4F4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87133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8C20F3" w:rsidRPr="002B4F4D" w:rsidRDefault="002B4F4D" w:rsidP="002B4F4D">
                          <w:pPr>
                            <w:jc w:val="both"/>
                            <w:rPr>
                              <w:rFonts w:ascii="Arial" w:hAnsi="Arial" w:cs="Arial"/>
                              <w:sz w:val="22"/>
                              <w:szCs w:val="22"/>
                              <w:lang w:val="es-NI"/>
                            </w:rPr>
                          </w:pPr>
                          <w:r w:rsidRPr="00871336">
                            <w:rPr>
                              <w:rFonts w:ascii="Arial" w:hAnsi="Arial" w:cs="Arial"/>
                              <w:lang w:val="es-NI"/>
                            </w:rPr>
                            <w:t>Las Negociaciones y la Rendici</w:t>
                          </w:r>
                          <w:r w:rsidR="00B83FC6">
                            <w:rPr>
                              <w:rFonts w:ascii="Arial" w:hAnsi="Arial" w:cs="Arial"/>
                              <w:lang w:val="es-NI"/>
                            </w:rPr>
                            <w:t>ó</w:t>
                          </w:r>
                          <w:r w:rsidRPr="00871336">
                            <w:rPr>
                              <w:rFonts w:ascii="Arial" w:hAnsi="Arial" w:cs="Arial"/>
                              <w:lang w:val="es-NI"/>
                            </w:rPr>
                            <w:t>n de Cuentas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8C20F3" w:rsidRPr="002B4F4D" w:rsidRDefault="008C20F3" w:rsidP="008C20F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2B4F4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2B4F4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8C20F3" w:rsidRPr="002B4F4D" w:rsidRDefault="008C20F3" w:rsidP="008C20F3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2B4F4D">
                            <w:rPr>
                              <w:rFonts w:ascii="Arial" w:hAnsi="Arial" w:cs="Arial"/>
                              <w:lang w:val="es-NI"/>
                            </w:rPr>
                            <w:t>Presenta</w:t>
                          </w:r>
                          <w:r w:rsidR="002B4F4D">
                            <w:rPr>
                              <w:rFonts w:ascii="Arial" w:hAnsi="Arial" w:cs="Arial"/>
                              <w:lang w:val="es-NI"/>
                            </w:rPr>
                            <w:t>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8C20F3" w:rsidRPr="002B4F4D" w:rsidRDefault="008476E4" w:rsidP="008C20F3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</w:t>
                        </w:r>
                        <w:r w:rsidR="002B4F4D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</w:t>
                        </w:r>
                      </w:p>
                      <w:p w:rsidR="008C20F3" w:rsidRPr="002B4F4D" w:rsidRDefault="002B4F4D" w:rsidP="00ED1DD0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871336"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a cumplir los objetivos de aprendizaje del módulo al describir los preceptos de la negociación exitosa cuando se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aplican al proceso de políticas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8C20F3" w:rsidRPr="00DA7C94" w:rsidRDefault="00D76BDF" w:rsidP="008C20F3">
                        <w:pPr>
                          <w:rPr>
                            <w:rFonts w:ascii="Arial" w:hAnsi="Arial" w:cs="Arial"/>
                            <w:sz w:val="28"/>
                            <w:szCs w:val="32"/>
                            <w:lang w:val="es-NI"/>
                          </w:rPr>
                        </w:pPr>
                        <w:r w:rsidRPr="00DA7C94">
                          <w:rPr>
                            <w:rFonts w:ascii="Arial" w:hAnsi="Arial" w:cs="Arial"/>
                            <w:b/>
                            <w:bCs/>
                            <w:smallCaps/>
                            <w:sz w:val="28"/>
                            <w:szCs w:val="32"/>
                            <w:lang w:val="es-NI"/>
                          </w:rPr>
                          <w:t>¿Cómo puede influenciar la investigación a la negociación?</w:t>
                        </w:r>
                        <w:r w:rsidR="008C20F3" w:rsidRPr="00DA7C94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 xml:space="preserve"> (NA2L)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2B4F4D" w:rsidRPr="00615913" w:rsidRDefault="002B4F4D" w:rsidP="002B4F4D">
      <w:pPr>
        <w:rPr>
          <w:rFonts w:ascii="Arial" w:hAnsi="Arial" w:cs="Arial"/>
          <w:b/>
          <w:sz w:val="28"/>
          <w:szCs w:val="28"/>
          <w:lang w:val="es-NI"/>
        </w:rPr>
      </w:pPr>
      <w:r w:rsidRPr="00615913">
        <w:rPr>
          <w:rFonts w:ascii="Arial" w:hAnsi="Arial" w:cs="Arial"/>
          <w:b/>
          <w:sz w:val="28"/>
          <w:szCs w:val="28"/>
          <w:lang w:val="es-NI"/>
        </w:rPr>
        <w:t>Ti</w:t>
      </w:r>
      <w:r>
        <w:rPr>
          <w:rFonts w:ascii="Arial" w:hAnsi="Arial" w:cs="Arial"/>
          <w:b/>
          <w:sz w:val="28"/>
          <w:szCs w:val="28"/>
          <w:lang w:val="es-NI"/>
        </w:rPr>
        <w:t>empo r</w:t>
      </w:r>
      <w:r w:rsidRPr="00615913">
        <w:rPr>
          <w:rFonts w:ascii="Arial" w:hAnsi="Arial" w:cs="Arial"/>
          <w:b/>
          <w:sz w:val="28"/>
          <w:szCs w:val="28"/>
          <w:lang w:val="es-NI"/>
        </w:rPr>
        <w:t>equerido</w:t>
      </w:r>
    </w:p>
    <w:p w:rsidR="002B4F4D" w:rsidRPr="00615913" w:rsidRDefault="00D76BDF" w:rsidP="00D76BDF">
      <w:pPr>
        <w:tabs>
          <w:tab w:val="left" w:pos="5325"/>
        </w:tabs>
        <w:rPr>
          <w:rFonts w:ascii="Arial" w:hAnsi="Arial" w:cs="Arial"/>
          <w:b/>
          <w:lang w:val="es-NI"/>
        </w:rPr>
      </w:pPr>
      <w:r>
        <w:rPr>
          <w:rFonts w:ascii="Arial" w:hAnsi="Arial" w:cs="Arial"/>
          <w:b/>
          <w:lang w:val="es-NI"/>
        </w:rPr>
        <w:tab/>
      </w:r>
    </w:p>
    <w:p w:rsidR="00194FB7" w:rsidRPr="00194FB7" w:rsidRDefault="002B4F4D" w:rsidP="002B4F4D">
      <w:pPr>
        <w:pStyle w:val="Prrafodelista"/>
        <w:numPr>
          <w:ilvl w:val="0"/>
          <w:numId w:val="10"/>
        </w:numPr>
        <w:rPr>
          <w:rFonts w:ascii="Arial" w:hAnsi="Arial" w:cs="Arial"/>
        </w:rPr>
      </w:pPr>
      <w:r w:rsidRPr="00615913">
        <w:rPr>
          <w:rFonts w:ascii="Arial" w:hAnsi="Arial" w:cs="Arial"/>
          <w:lang w:val="es-NI"/>
        </w:rPr>
        <w:t>45 minutos</w:t>
      </w:r>
      <w:r w:rsidR="00194FB7" w:rsidRPr="00194FB7">
        <w:rPr>
          <w:rFonts w:ascii="Arial" w:hAnsi="Arial" w:cs="Arial"/>
        </w:rPr>
        <w:t xml:space="preserve"> </w:t>
      </w:r>
    </w:p>
    <w:p w:rsidR="00194FB7" w:rsidRPr="00194FB7" w:rsidRDefault="00194FB7" w:rsidP="00194FB7">
      <w:pPr>
        <w:rPr>
          <w:rFonts w:ascii="Arial" w:hAnsi="Arial" w:cs="Arial"/>
          <w:b/>
        </w:rPr>
      </w:pPr>
    </w:p>
    <w:p w:rsidR="002B4F4D" w:rsidRPr="008F231A" w:rsidRDefault="002B4F4D" w:rsidP="002B4F4D">
      <w:pPr>
        <w:rPr>
          <w:rFonts w:ascii="Arial" w:hAnsi="Arial" w:cs="Arial"/>
          <w:b/>
          <w:sz w:val="28"/>
          <w:szCs w:val="28"/>
        </w:rPr>
      </w:pPr>
      <w:r w:rsidRPr="00615913">
        <w:rPr>
          <w:rFonts w:ascii="Arial" w:hAnsi="Arial" w:cs="Arial"/>
          <w:b/>
          <w:sz w:val="28"/>
          <w:szCs w:val="28"/>
          <w:lang w:val="es-NI"/>
        </w:rPr>
        <w:t xml:space="preserve">Descripción de la </w:t>
      </w:r>
      <w:r>
        <w:rPr>
          <w:rFonts w:ascii="Arial" w:hAnsi="Arial" w:cs="Arial"/>
          <w:b/>
          <w:sz w:val="28"/>
          <w:szCs w:val="28"/>
          <w:lang w:val="es-NI"/>
        </w:rPr>
        <w:t>a</w:t>
      </w:r>
      <w:r w:rsidRPr="00615913">
        <w:rPr>
          <w:rFonts w:ascii="Arial" w:hAnsi="Arial" w:cs="Arial"/>
          <w:b/>
          <w:sz w:val="28"/>
          <w:szCs w:val="28"/>
          <w:lang w:val="es-NI"/>
        </w:rPr>
        <w:t>ctividad</w:t>
      </w:r>
    </w:p>
    <w:p w:rsidR="002B4F4D" w:rsidRPr="002C2300" w:rsidRDefault="002B4F4D" w:rsidP="002B4F4D">
      <w:pPr>
        <w:rPr>
          <w:rFonts w:ascii="Arial" w:hAnsi="Arial" w:cs="Arial"/>
        </w:rPr>
      </w:pPr>
    </w:p>
    <w:p w:rsidR="002B4F4D" w:rsidRDefault="002B4F4D" w:rsidP="00ED1DD0">
      <w:pPr>
        <w:jc w:val="both"/>
        <w:rPr>
          <w:rFonts w:ascii="Arial" w:hAnsi="Arial" w:cs="Arial"/>
          <w:lang w:val="es-NI"/>
        </w:rPr>
      </w:pPr>
      <w:r w:rsidRPr="00D9658B">
        <w:rPr>
          <w:rFonts w:ascii="Arial" w:hAnsi="Arial" w:cs="Arial"/>
          <w:lang w:val="es-NI"/>
        </w:rPr>
        <w:t xml:space="preserve">Presentación de PowerPoint con las notas del orador. </w:t>
      </w:r>
      <w:r>
        <w:rPr>
          <w:rFonts w:ascii="Arial" w:hAnsi="Arial" w:cs="Arial"/>
          <w:lang w:val="es-NI"/>
        </w:rPr>
        <w:t>Esta</w:t>
      </w:r>
      <w:r w:rsidRPr="00AA310D">
        <w:rPr>
          <w:rFonts w:ascii="Arial" w:hAnsi="Arial" w:cs="Arial"/>
          <w:lang w:val="es-NI"/>
        </w:rPr>
        <w:t xml:space="preserve"> sesión </w:t>
      </w:r>
      <w:r w:rsidR="0034249E">
        <w:rPr>
          <w:rFonts w:ascii="Arial" w:hAnsi="Arial" w:cs="Arial"/>
          <w:lang w:val="es-NI"/>
        </w:rPr>
        <w:t>se centra</w:t>
      </w:r>
      <w:r>
        <w:rPr>
          <w:rFonts w:ascii="Arial" w:hAnsi="Arial" w:cs="Arial"/>
          <w:lang w:val="es-NI"/>
        </w:rPr>
        <w:t xml:space="preserve"> en cómo la investigación puede influenciar los procesos de negociaciones. La presentación considera cómo los investigadores podrían abordar una actividad de investigación con el objetivo de influenciar una negociación o de </w:t>
      </w:r>
      <w:r w:rsidR="0034249E">
        <w:rPr>
          <w:rFonts w:ascii="Arial" w:hAnsi="Arial" w:cs="Arial"/>
          <w:lang w:val="es-NI"/>
        </w:rPr>
        <w:t>hacer que un líder rinda cuentas</w:t>
      </w:r>
      <w:r>
        <w:rPr>
          <w:rFonts w:ascii="Arial" w:hAnsi="Arial" w:cs="Arial"/>
          <w:lang w:val="es-NI"/>
        </w:rPr>
        <w:t xml:space="preserve">. Esta </w:t>
      </w:r>
      <w:r w:rsidRPr="00615913">
        <w:rPr>
          <w:rFonts w:ascii="Arial" w:hAnsi="Arial" w:cs="Arial"/>
          <w:lang w:val="es-NI"/>
        </w:rPr>
        <w:t xml:space="preserve">presentación </w:t>
      </w:r>
      <w:r>
        <w:rPr>
          <w:rFonts w:ascii="Arial" w:hAnsi="Arial" w:cs="Arial"/>
          <w:lang w:val="es-NI"/>
        </w:rPr>
        <w:t xml:space="preserve">es compleja </w:t>
      </w:r>
      <w:r w:rsidR="00837041">
        <w:rPr>
          <w:rFonts w:ascii="Arial" w:hAnsi="Arial" w:cs="Arial"/>
          <w:lang w:val="es-NI"/>
        </w:rPr>
        <w:t xml:space="preserve">y está más adecuada para investigadores </w:t>
      </w:r>
      <w:r w:rsidR="005776AA">
        <w:rPr>
          <w:rFonts w:ascii="Arial" w:hAnsi="Arial" w:cs="Arial"/>
          <w:lang w:val="es-NI"/>
        </w:rPr>
        <w:t>fuertes</w:t>
      </w:r>
      <w:r w:rsidR="00837041">
        <w:rPr>
          <w:rFonts w:ascii="Arial" w:hAnsi="Arial" w:cs="Arial"/>
          <w:lang w:val="es-NI"/>
        </w:rPr>
        <w:t xml:space="preserve">. Los conceptos son </w:t>
      </w:r>
      <w:r w:rsidR="005776AA">
        <w:rPr>
          <w:rFonts w:ascii="Arial" w:hAnsi="Arial" w:cs="Arial"/>
          <w:lang w:val="es-NI"/>
        </w:rPr>
        <w:t xml:space="preserve">menos relevantes para los </w:t>
      </w:r>
      <w:r w:rsidR="00B83FC6">
        <w:rPr>
          <w:rFonts w:ascii="Arial" w:hAnsi="Arial" w:cs="Arial"/>
          <w:lang w:val="es-NI"/>
        </w:rPr>
        <w:t>promotores</w:t>
      </w:r>
      <w:r w:rsidR="00837041">
        <w:rPr>
          <w:rFonts w:ascii="Arial" w:hAnsi="Arial" w:cs="Arial"/>
          <w:lang w:val="es-NI"/>
        </w:rPr>
        <w:t>. Hay varias preguntas de discusión integradas a lo largo de la presentación</w:t>
      </w:r>
      <w:r w:rsidRPr="00615913">
        <w:rPr>
          <w:rFonts w:ascii="Arial" w:hAnsi="Arial" w:cs="Arial"/>
          <w:lang w:val="es-NI"/>
        </w:rPr>
        <w:t>.</w:t>
      </w:r>
    </w:p>
    <w:p w:rsidR="002B4F4D" w:rsidRDefault="002B4F4D" w:rsidP="002B4F4D">
      <w:pPr>
        <w:rPr>
          <w:rFonts w:ascii="Arial" w:hAnsi="Arial" w:cs="Arial"/>
          <w:lang w:val="es-NI"/>
        </w:rPr>
      </w:pPr>
    </w:p>
    <w:p w:rsidR="00194FB7" w:rsidRPr="0034249E" w:rsidRDefault="0034249E" w:rsidP="00194FB7">
      <w:pPr>
        <w:rPr>
          <w:rFonts w:ascii="Arial" w:hAnsi="Arial" w:cs="Arial"/>
          <w:b/>
          <w:sz w:val="28"/>
          <w:szCs w:val="28"/>
          <w:lang w:val="es-NI"/>
        </w:rPr>
      </w:pPr>
      <w:r w:rsidRPr="00EB6C18">
        <w:rPr>
          <w:rFonts w:ascii="Arial" w:hAnsi="Arial" w:cs="Arial"/>
          <w:b/>
          <w:sz w:val="28"/>
          <w:szCs w:val="28"/>
          <w:lang w:val="es-NI"/>
        </w:rPr>
        <w:t xml:space="preserve">Concepto(s) </w:t>
      </w:r>
      <w:r w:rsidR="008476E4">
        <w:rPr>
          <w:rFonts w:ascii="Arial" w:hAnsi="Arial" w:cs="Arial"/>
          <w:b/>
          <w:sz w:val="28"/>
          <w:szCs w:val="28"/>
          <w:lang w:val="es-NI"/>
        </w:rPr>
        <w:t>c</w:t>
      </w:r>
      <w:r w:rsidRPr="00EB6C18">
        <w:rPr>
          <w:rFonts w:ascii="Arial" w:hAnsi="Arial" w:cs="Arial"/>
          <w:b/>
          <w:sz w:val="28"/>
          <w:szCs w:val="28"/>
          <w:lang w:val="es-NI"/>
        </w:rPr>
        <w:t>laves de Aprendizaje</w:t>
      </w:r>
    </w:p>
    <w:p w:rsidR="00194FB7" w:rsidRPr="0034249E" w:rsidRDefault="00194FB7" w:rsidP="00194FB7">
      <w:pPr>
        <w:rPr>
          <w:rFonts w:ascii="Arial" w:hAnsi="Arial" w:cs="Arial"/>
          <w:b/>
          <w:lang w:val="es-NI"/>
        </w:rPr>
      </w:pPr>
    </w:p>
    <w:p w:rsidR="00194FB7" w:rsidRPr="0034249E" w:rsidRDefault="0034249E" w:rsidP="00194FB7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34249E">
        <w:rPr>
          <w:rFonts w:ascii="Arial" w:hAnsi="Arial" w:cs="Arial"/>
          <w:lang w:val="es-NI"/>
        </w:rPr>
        <w:t xml:space="preserve">Investigación de </w:t>
      </w:r>
      <w:r w:rsidR="00784810">
        <w:rPr>
          <w:rFonts w:ascii="Arial" w:hAnsi="Arial" w:cs="Arial"/>
          <w:lang w:val="es-NI"/>
        </w:rPr>
        <w:t>aplicac</w:t>
      </w:r>
      <w:r>
        <w:rPr>
          <w:rFonts w:ascii="Arial" w:hAnsi="Arial" w:cs="Arial"/>
          <w:lang w:val="es-NI"/>
        </w:rPr>
        <w:t>ión</w:t>
      </w:r>
    </w:p>
    <w:p w:rsidR="00194FB7" w:rsidRPr="00784810" w:rsidRDefault="0034249E" w:rsidP="00194FB7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Investigación de rendici</w:t>
      </w:r>
      <w:r w:rsidR="00B83FC6">
        <w:rPr>
          <w:rFonts w:ascii="Arial" w:hAnsi="Arial" w:cs="Arial"/>
          <w:lang w:val="es-NI"/>
        </w:rPr>
        <w:t>ó</w:t>
      </w:r>
      <w:r>
        <w:rPr>
          <w:rFonts w:ascii="Arial" w:hAnsi="Arial" w:cs="Arial"/>
          <w:lang w:val="es-NI"/>
        </w:rPr>
        <w:t>n de cuentas</w:t>
      </w:r>
      <w:r w:rsidR="00784810">
        <w:rPr>
          <w:rFonts w:ascii="Arial" w:hAnsi="Arial" w:cs="Arial"/>
          <w:lang w:val="es-NI"/>
        </w:rPr>
        <w:t xml:space="preserve"> </w:t>
      </w:r>
    </w:p>
    <w:p w:rsidR="00194FB7" w:rsidRPr="00784810" w:rsidRDefault="00194FB7" w:rsidP="00194FB7">
      <w:pPr>
        <w:rPr>
          <w:rFonts w:ascii="Arial" w:hAnsi="Arial" w:cs="Arial"/>
          <w:b/>
          <w:lang w:val="es-NI"/>
        </w:rPr>
      </w:pPr>
    </w:p>
    <w:p w:rsidR="00194FB7" w:rsidRPr="00194FB7" w:rsidRDefault="00784810" w:rsidP="00194FB7">
      <w:pPr>
        <w:rPr>
          <w:rFonts w:ascii="Arial" w:hAnsi="Arial" w:cs="Arial"/>
          <w:b/>
          <w:sz w:val="28"/>
          <w:szCs w:val="28"/>
        </w:rPr>
      </w:pPr>
      <w:r w:rsidRPr="007070BE"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8476E4">
        <w:rPr>
          <w:rFonts w:ascii="Arial" w:hAnsi="Arial" w:cs="Arial"/>
          <w:b/>
          <w:sz w:val="28"/>
          <w:szCs w:val="28"/>
          <w:lang w:val="es-NI"/>
        </w:rPr>
        <w:t>requeridos</w:t>
      </w:r>
    </w:p>
    <w:p w:rsidR="00194FB7" w:rsidRPr="00194FB7" w:rsidRDefault="00194FB7" w:rsidP="00194FB7">
      <w:pPr>
        <w:rPr>
          <w:rFonts w:ascii="Arial" w:hAnsi="Arial" w:cs="Arial"/>
          <w:b/>
        </w:rPr>
      </w:pPr>
    </w:p>
    <w:p w:rsidR="00194FB7" w:rsidRPr="00784810" w:rsidRDefault="00194FB7" w:rsidP="00194FB7">
      <w:pPr>
        <w:pStyle w:val="Prrafodelista"/>
        <w:numPr>
          <w:ilvl w:val="0"/>
          <w:numId w:val="11"/>
        </w:numPr>
        <w:rPr>
          <w:rFonts w:ascii="Arial" w:hAnsi="Arial" w:cs="Arial"/>
          <w:lang w:val="es-NI"/>
        </w:rPr>
      </w:pPr>
      <w:r w:rsidRPr="00784810">
        <w:rPr>
          <w:rFonts w:ascii="Arial" w:hAnsi="Arial" w:cs="Arial"/>
          <w:lang w:val="es-NI"/>
        </w:rPr>
        <w:t xml:space="preserve">Laptop </w:t>
      </w:r>
      <w:r w:rsidR="00784810">
        <w:rPr>
          <w:rFonts w:ascii="Arial" w:hAnsi="Arial" w:cs="Arial"/>
          <w:lang w:val="es-NI"/>
        </w:rPr>
        <w:t>y</w:t>
      </w:r>
      <w:r w:rsidRPr="00784810">
        <w:rPr>
          <w:rFonts w:ascii="Arial" w:hAnsi="Arial" w:cs="Arial"/>
          <w:lang w:val="es-NI"/>
        </w:rPr>
        <w:t xml:space="preserve"> pro</w:t>
      </w:r>
      <w:r w:rsidR="00784810">
        <w:rPr>
          <w:rFonts w:ascii="Arial" w:hAnsi="Arial" w:cs="Arial"/>
          <w:lang w:val="es-NI"/>
        </w:rPr>
        <w:t>ye</w:t>
      </w:r>
      <w:r w:rsidRPr="00784810">
        <w:rPr>
          <w:rFonts w:ascii="Arial" w:hAnsi="Arial" w:cs="Arial"/>
          <w:lang w:val="es-NI"/>
        </w:rPr>
        <w:t>ctor</w:t>
      </w:r>
    </w:p>
    <w:p w:rsidR="00194FB7" w:rsidRPr="00194FB7" w:rsidRDefault="00194FB7" w:rsidP="00194FB7">
      <w:pPr>
        <w:rPr>
          <w:rFonts w:ascii="Arial" w:hAnsi="Arial" w:cs="Arial"/>
          <w:b/>
        </w:rPr>
      </w:pPr>
    </w:p>
    <w:p w:rsidR="00194FB7" w:rsidRPr="00194FB7" w:rsidRDefault="00784810" w:rsidP="00194FB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s-NI"/>
        </w:rPr>
        <w:t xml:space="preserve">Sesiones </w:t>
      </w:r>
      <w:r w:rsidR="008476E4">
        <w:rPr>
          <w:rFonts w:ascii="Arial" w:hAnsi="Arial" w:cs="Arial"/>
          <w:b/>
          <w:sz w:val="28"/>
          <w:szCs w:val="28"/>
          <w:lang w:val="es-NI"/>
        </w:rPr>
        <w:t>asociadas</w:t>
      </w:r>
    </w:p>
    <w:p w:rsidR="00194FB7" w:rsidRPr="00194FB7" w:rsidRDefault="00194FB7" w:rsidP="00194FB7">
      <w:pPr>
        <w:rPr>
          <w:rFonts w:ascii="Arial" w:hAnsi="Arial" w:cs="Arial"/>
          <w:b/>
        </w:rPr>
      </w:pPr>
    </w:p>
    <w:p w:rsidR="00194FB7" w:rsidRPr="00D76BDF" w:rsidRDefault="00D76BDF" w:rsidP="00194FB7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D76BDF">
        <w:rPr>
          <w:rFonts w:ascii="Arial" w:hAnsi="Arial" w:cs="Arial"/>
          <w:bCs/>
          <w:lang w:val="es-NI"/>
        </w:rPr>
        <w:t>¿Cómo puede influenciar la investigación a la negociación?</w:t>
      </w:r>
      <w:r>
        <w:rPr>
          <w:rFonts w:ascii="Arial" w:hAnsi="Arial" w:cs="Arial"/>
          <w:lang w:val="es-NI"/>
        </w:rPr>
        <w:t xml:space="preserve"> </w:t>
      </w:r>
      <w:r w:rsidR="00194FB7" w:rsidRPr="00D76BDF">
        <w:rPr>
          <w:rFonts w:ascii="Arial" w:hAnsi="Arial" w:cs="Arial"/>
          <w:lang w:val="es-NI"/>
        </w:rPr>
        <w:t>(NA2L)</w:t>
      </w:r>
    </w:p>
    <w:p w:rsidR="00194FB7" w:rsidRPr="00B83FC6" w:rsidRDefault="00B83FC6" w:rsidP="00094482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B83FC6">
        <w:rPr>
          <w:rFonts w:ascii="Arial" w:hAnsi="Arial" w:cs="Arial"/>
          <w:lang w:val="es-NI"/>
        </w:rPr>
        <w:t xml:space="preserve">Caso práctico de negociación </w:t>
      </w:r>
      <w:r w:rsidR="00194FB7" w:rsidRPr="00B83FC6">
        <w:rPr>
          <w:rFonts w:ascii="Arial" w:hAnsi="Arial" w:cs="Arial"/>
          <w:lang w:val="es-NI"/>
        </w:rPr>
        <w:t>(NA3E)</w:t>
      </w:r>
    </w:p>
    <w:sectPr w:rsidR="00194FB7" w:rsidRPr="00B83FC6" w:rsidSect="002C2300">
      <w:headerReference w:type="default" r:id="rId7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831" w:rsidRDefault="00464831">
      <w:r>
        <w:separator/>
      </w:r>
    </w:p>
  </w:endnote>
  <w:endnote w:type="continuationSeparator" w:id="0">
    <w:p w:rsidR="00464831" w:rsidRDefault="0046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831" w:rsidRDefault="00464831">
      <w:r>
        <w:separator/>
      </w:r>
    </w:p>
  </w:footnote>
  <w:footnote w:type="continuationSeparator" w:id="0">
    <w:p w:rsidR="00464831" w:rsidRDefault="00464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D0" w:rsidRDefault="00ED1DD0" w:rsidP="00ED1DD0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ED1DD0" w:rsidRDefault="00ED1DD0" w:rsidP="00ED1DD0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ED1DD0" w:rsidRDefault="00ED1DD0" w:rsidP="00ED1DD0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0C0826" w:rsidRDefault="000C0826" w:rsidP="00AD4263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95DC6"/>
    <w:multiLevelType w:val="hybridMultilevel"/>
    <w:tmpl w:val="5AA26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62E26"/>
    <w:multiLevelType w:val="hybridMultilevel"/>
    <w:tmpl w:val="4C303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593A"/>
    <w:rsid w:val="00016AFD"/>
    <w:rsid w:val="00020634"/>
    <w:rsid w:val="0002229B"/>
    <w:rsid w:val="00027C12"/>
    <w:rsid w:val="00042382"/>
    <w:rsid w:val="00047C2E"/>
    <w:rsid w:val="000B2CC9"/>
    <w:rsid w:val="000C0826"/>
    <w:rsid w:val="000F0903"/>
    <w:rsid w:val="000F379A"/>
    <w:rsid w:val="0013687F"/>
    <w:rsid w:val="00143554"/>
    <w:rsid w:val="00150167"/>
    <w:rsid w:val="00160E8A"/>
    <w:rsid w:val="00165FE8"/>
    <w:rsid w:val="001948CE"/>
    <w:rsid w:val="00194FB7"/>
    <w:rsid w:val="001B5702"/>
    <w:rsid w:val="001C0995"/>
    <w:rsid w:val="001C5771"/>
    <w:rsid w:val="001E0E6B"/>
    <w:rsid w:val="001E48D2"/>
    <w:rsid w:val="00201599"/>
    <w:rsid w:val="00202D08"/>
    <w:rsid w:val="0021384F"/>
    <w:rsid w:val="00214B07"/>
    <w:rsid w:val="002167BD"/>
    <w:rsid w:val="002244F2"/>
    <w:rsid w:val="0025508B"/>
    <w:rsid w:val="00261168"/>
    <w:rsid w:val="0028067B"/>
    <w:rsid w:val="00297721"/>
    <w:rsid w:val="002A4052"/>
    <w:rsid w:val="002A7D1F"/>
    <w:rsid w:val="002B4F4D"/>
    <w:rsid w:val="002C2300"/>
    <w:rsid w:val="002F295C"/>
    <w:rsid w:val="00313C92"/>
    <w:rsid w:val="003322D7"/>
    <w:rsid w:val="003362AB"/>
    <w:rsid w:val="0034249E"/>
    <w:rsid w:val="00342FF5"/>
    <w:rsid w:val="00373B08"/>
    <w:rsid w:val="003922BC"/>
    <w:rsid w:val="003B073E"/>
    <w:rsid w:val="003C1B0A"/>
    <w:rsid w:val="003D3A20"/>
    <w:rsid w:val="003F7FD6"/>
    <w:rsid w:val="00440096"/>
    <w:rsid w:val="0044614E"/>
    <w:rsid w:val="00464831"/>
    <w:rsid w:val="00475332"/>
    <w:rsid w:val="004826C0"/>
    <w:rsid w:val="00482FAD"/>
    <w:rsid w:val="004848AE"/>
    <w:rsid w:val="00493BAB"/>
    <w:rsid w:val="004C1060"/>
    <w:rsid w:val="004C543D"/>
    <w:rsid w:val="004D2C6A"/>
    <w:rsid w:val="004D4668"/>
    <w:rsid w:val="004E4806"/>
    <w:rsid w:val="004F1931"/>
    <w:rsid w:val="005323B6"/>
    <w:rsid w:val="005555DE"/>
    <w:rsid w:val="00567153"/>
    <w:rsid w:val="005717B6"/>
    <w:rsid w:val="005776AA"/>
    <w:rsid w:val="005A7DF5"/>
    <w:rsid w:val="005D7B01"/>
    <w:rsid w:val="005E7958"/>
    <w:rsid w:val="00605F66"/>
    <w:rsid w:val="006438CA"/>
    <w:rsid w:val="0064765B"/>
    <w:rsid w:val="006619E3"/>
    <w:rsid w:val="0066428E"/>
    <w:rsid w:val="006C1D61"/>
    <w:rsid w:val="006F57C2"/>
    <w:rsid w:val="00724393"/>
    <w:rsid w:val="00730270"/>
    <w:rsid w:val="0073197F"/>
    <w:rsid w:val="00745F84"/>
    <w:rsid w:val="00767E60"/>
    <w:rsid w:val="00784810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01DF7"/>
    <w:rsid w:val="00812D34"/>
    <w:rsid w:val="00822E90"/>
    <w:rsid w:val="008238D1"/>
    <w:rsid w:val="00837041"/>
    <w:rsid w:val="008476E4"/>
    <w:rsid w:val="00873504"/>
    <w:rsid w:val="00874EA4"/>
    <w:rsid w:val="00877FAC"/>
    <w:rsid w:val="008C20F3"/>
    <w:rsid w:val="008D35E7"/>
    <w:rsid w:val="008E0644"/>
    <w:rsid w:val="00923CA0"/>
    <w:rsid w:val="00931C0E"/>
    <w:rsid w:val="00950CEE"/>
    <w:rsid w:val="0095260A"/>
    <w:rsid w:val="00991F5E"/>
    <w:rsid w:val="009A2F29"/>
    <w:rsid w:val="009C3C91"/>
    <w:rsid w:val="009E7F36"/>
    <w:rsid w:val="00A026D4"/>
    <w:rsid w:val="00A15220"/>
    <w:rsid w:val="00AC1E34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3FC6"/>
    <w:rsid w:val="00B863CC"/>
    <w:rsid w:val="00BB1A96"/>
    <w:rsid w:val="00BB6A2B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87182"/>
    <w:rsid w:val="00C90F4D"/>
    <w:rsid w:val="00CB0AD1"/>
    <w:rsid w:val="00CB3B1C"/>
    <w:rsid w:val="00CE791F"/>
    <w:rsid w:val="00D0013B"/>
    <w:rsid w:val="00D155BD"/>
    <w:rsid w:val="00D35454"/>
    <w:rsid w:val="00D40851"/>
    <w:rsid w:val="00D50C95"/>
    <w:rsid w:val="00D50D54"/>
    <w:rsid w:val="00D6742F"/>
    <w:rsid w:val="00D76BDF"/>
    <w:rsid w:val="00D777CF"/>
    <w:rsid w:val="00D812C2"/>
    <w:rsid w:val="00DA2C1C"/>
    <w:rsid w:val="00DA7C94"/>
    <w:rsid w:val="00DB627C"/>
    <w:rsid w:val="00DC29B3"/>
    <w:rsid w:val="00DF14A2"/>
    <w:rsid w:val="00E16664"/>
    <w:rsid w:val="00E243A7"/>
    <w:rsid w:val="00E70433"/>
    <w:rsid w:val="00E91255"/>
    <w:rsid w:val="00EA5C6D"/>
    <w:rsid w:val="00EB23C7"/>
    <w:rsid w:val="00ED11A9"/>
    <w:rsid w:val="00ED1DD0"/>
    <w:rsid w:val="00ED7720"/>
    <w:rsid w:val="00EF130F"/>
    <w:rsid w:val="00F054CB"/>
    <w:rsid w:val="00F32532"/>
    <w:rsid w:val="00F55C79"/>
    <w:rsid w:val="00F75F1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2018-09-20T07:13:00Z</dcterms:created>
  <dcterms:modified xsi:type="dcterms:W3CDTF">2018-09-20T14:52:00Z</dcterms:modified>
</cp:coreProperties>
</file>