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C0F8" w14:textId="16DB7165" w:rsidR="000E21F5" w:rsidRPr="00B71E87" w:rsidRDefault="00EA42AA" w:rsidP="00B71E87">
      <w:pPr>
        <w:pStyle w:val="Heading1"/>
        <w:rPr>
          <w:color w:val="0070C0"/>
        </w:rPr>
      </w:pPr>
      <w:r w:rsidRPr="00B71E87">
        <w:rPr>
          <w:color w:val="0070C0"/>
        </w:rPr>
        <w:t xml:space="preserve">Call for </w:t>
      </w:r>
      <w:proofErr w:type="gramStart"/>
      <w:r w:rsidRPr="00B71E87">
        <w:rPr>
          <w:color w:val="0070C0"/>
        </w:rPr>
        <w:t>Proposals</w:t>
      </w:r>
      <w:proofErr w:type="gramEnd"/>
    </w:p>
    <w:p w14:paraId="28575865" w14:textId="77777777" w:rsidR="007D2AB9" w:rsidRDefault="000E21F5" w:rsidP="006E48F2">
      <w:r>
        <w:t xml:space="preserve">PRB </w:t>
      </w:r>
      <w:r w:rsidR="00C15126">
        <w:t>seeks an</w:t>
      </w:r>
      <w:r w:rsidR="002E478D">
        <w:t xml:space="preserve"> </w:t>
      </w:r>
      <w:r w:rsidR="002E478D">
        <w:rPr>
          <w:b/>
          <w:bCs/>
        </w:rPr>
        <w:t>Employer of Record (EOR)</w:t>
      </w:r>
      <w:r w:rsidR="002E478D">
        <w:t xml:space="preserve"> </w:t>
      </w:r>
      <w:r w:rsidR="005E5FA2">
        <w:t xml:space="preserve">who can </w:t>
      </w:r>
      <w:r w:rsidR="00C15126">
        <w:t xml:space="preserve">(1) </w:t>
      </w:r>
      <w:r w:rsidR="005E5FA2">
        <w:t>deliver staffing services in Senegal</w:t>
      </w:r>
      <w:r w:rsidR="00F10A14">
        <w:t xml:space="preserve">, </w:t>
      </w:r>
      <w:r w:rsidR="00A435A7">
        <w:t xml:space="preserve">or in </w:t>
      </w:r>
      <w:r w:rsidR="00F10A14">
        <w:t xml:space="preserve">Kenya, or </w:t>
      </w:r>
      <w:r w:rsidR="00A435A7">
        <w:t xml:space="preserve">in </w:t>
      </w:r>
      <w:r w:rsidR="00F10A14">
        <w:t>both countries</w:t>
      </w:r>
      <w:r w:rsidR="00C15126">
        <w:t xml:space="preserve"> and (2) provide </w:t>
      </w:r>
      <w:r w:rsidR="00CF0B0D">
        <w:t xml:space="preserve">ad-hoc strategic, operational, and legal support </w:t>
      </w:r>
      <w:r w:rsidR="00C15126">
        <w:t>related to human resources</w:t>
      </w:r>
      <w:r w:rsidR="00297A17">
        <w:t xml:space="preserve"> &amp; </w:t>
      </w:r>
      <w:r w:rsidR="00197351" w:rsidRPr="00297A17">
        <w:t>payroll processing</w:t>
      </w:r>
      <w:r w:rsidR="00297A17" w:rsidRPr="00297A17">
        <w:t>.</w:t>
      </w:r>
    </w:p>
    <w:p w14:paraId="6499B553" w14:textId="0395E3F8" w:rsidR="005D747F" w:rsidRDefault="00401F33" w:rsidP="006E48F2">
      <w:r>
        <w:t>PRB is an international nonprofit organization based in Washington, DC, US</w:t>
      </w:r>
      <w:r w:rsidR="005D747F">
        <w:t>A with presence in Senegal and Kenya as an international development partner.</w:t>
      </w:r>
    </w:p>
    <w:p w14:paraId="5DE87509" w14:textId="175D2F68" w:rsidR="000E21F5" w:rsidRPr="00B71E87" w:rsidRDefault="00B71E87" w:rsidP="00B71E87">
      <w:pPr>
        <w:pStyle w:val="Heading2"/>
      </w:pPr>
      <w:r w:rsidRPr="00B71E87">
        <w:t>Scope of Work</w:t>
      </w:r>
    </w:p>
    <w:p w14:paraId="6CE14B2C" w14:textId="12E64005" w:rsidR="00C02E0A" w:rsidRDefault="00C02E0A" w:rsidP="00B71E87">
      <w:pPr>
        <w:pStyle w:val="BodyText"/>
        <w:spacing w:before="190" w:line="259" w:lineRule="auto"/>
        <w:ind w:right="141"/>
      </w:pPr>
      <w:r>
        <w:t xml:space="preserve">Specifically, PRB </w:t>
      </w:r>
      <w:r w:rsidR="00DF748A">
        <w:t>seeks</w:t>
      </w:r>
      <w:r>
        <w:t xml:space="preserve"> an EOR with </w:t>
      </w:r>
      <w:r w:rsidR="002D6994">
        <w:t>the following capabilities:</w:t>
      </w:r>
    </w:p>
    <w:p w14:paraId="54FA61D3" w14:textId="330D03F5" w:rsidR="00C02E0A" w:rsidRDefault="00C02E0A" w:rsidP="00C02E0A">
      <w:pPr>
        <w:pStyle w:val="BodyText"/>
        <w:numPr>
          <w:ilvl w:val="0"/>
          <w:numId w:val="3"/>
        </w:numPr>
        <w:spacing w:before="190" w:line="259" w:lineRule="auto"/>
        <w:ind w:right="141"/>
      </w:pPr>
      <w:r>
        <w:t xml:space="preserve">Staffing </w:t>
      </w:r>
      <w:r w:rsidR="00560225">
        <w:t xml:space="preserve">and payroll </w:t>
      </w:r>
      <w:r>
        <w:t>services</w:t>
      </w:r>
    </w:p>
    <w:p w14:paraId="3EA98F05" w14:textId="211B762B" w:rsidR="00C02E0A" w:rsidRPr="00297A17" w:rsidRDefault="006D7729" w:rsidP="006D7729">
      <w:pPr>
        <w:pStyle w:val="BodyText"/>
        <w:numPr>
          <w:ilvl w:val="1"/>
          <w:numId w:val="3"/>
        </w:numPr>
        <w:spacing w:after="0" w:line="259" w:lineRule="auto"/>
        <w:ind w:right="141"/>
      </w:pPr>
      <w:r>
        <w:t>Employ, on PRB’s behalf,</w:t>
      </w:r>
      <w:r w:rsidR="00C02E0A">
        <w:t xml:space="preserve"> 1-2 individuals in Senegal and/or </w:t>
      </w:r>
      <w:r w:rsidR="00BF59D2">
        <w:t xml:space="preserve">6-8 individuals in Kenya. PRB prefers a vendor who can </w:t>
      </w:r>
      <w:r w:rsidR="00A94B97">
        <w:t xml:space="preserve">support </w:t>
      </w:r>
      <w:r w:rsidR="00BF59D2">
        <w:t xml:space="preserve">both geographies but will </w:t>
      </w:r>
      <w:r w:rsidR="002D6994" w:rsidRPr="00297A17">
        <w:t xml:space="preserve">consider proposals from vendors who only operate in one </w:t>
      </w:r>
      <w:r w:rsidR="00560225">
        <w:t xml:space="preserve">and </w:t>
      </w:r>
      <w:r w:rsidR="002D6994" w:rsidRPr="00297A17">
        <w:t>not the other.</w:t>
      </w:r>
      <w:r w:rsidR="00623753" w:rsidRPr="00297A17">
        <w:t xml:space="preserve"> </w:t>
      </w:r>
    </w:p>
    <w:p w14:paraId="4AAD70B4" w14:textId="3D76C9DE" w:rsidR="001D245C" w:rsidRPr="00297A17" w:rsidRDefault="001D245C" w:rsidP="006D7729">
      <w:pPr>
        <w:pStyle w:val="BodyText"/>
        <w:numPr>
          <w:ilvl w:val="1"/>
          <w:numId w:val="3"/>
        </w:numPr>
        <w:spacing w:after="0" w:line="259" w:lineRule="auto"/>
        <w:ind w:right="141"/>
      </w:pPr>
      <w:r w:rsidRPr="00297A17">
        <w:t>Register employees with appropriate national authorities</w:t>
      </w:r>
      <w:r w:rsidR="00197351" w:rsidRPr="00297A17">
        <w:t xml:space="preserve"> and facilitate processing of the required documents like work VISAs, work permits &amp; alien ID</w:t>
      </w:r>
      <w:r w:rsidR="00A94B97" w:rsidRPr="00297A17">
        <w:t>.</w:t>
      </w:r>
    </w:p>
    <w:p w14:paraId="0A9BD4D1" w14:textId="69826D0A" w:rsidR="006D7729" w:rsidRPr="00297A17" w:rsidRDefault="001D245C" w:rsidP="003602B5">
      <w:pPr>
        <w:pStyle w:val="BodyText"/>
        <w:numPr>
          <w:ilvl w:val="1"/>
          <w:numId w:val="3"/>
        </w:numPr>
        <w:spacing w:after="0" w:line="259" w:lineRule="auto"/>
        <w:ind w:right="141"/>
      </w:pPr>
      <w:r w:rsidRPr="00297A17">
        <w:t>Calculate and process payroll</w:t>
      </w:r>
      <w:r w:rsidR="003602B5" w:rsidRPr="00297A17">
        <w:t xml:space="preserve">. Provide </w:t>
      </w:r>
      <w:r w:rsidR="006D7729" w:rsidRPr="00297A17">
        <w:t xml:space="preserve">payroll </w:t>
      </w:r>
      <w:r w:rsidR="003602B5" w:rsidRPr="00297A17">
        <w:t>report</w:t>
      </w:r>
      <w:r w:rsidR="00730A25" w:rsidRPr="00297A17">
        <w:t>s</w:t>
      </w:r>
      <w:r w:rsidR="003602B5" w:rsidRPr="00297A17">
        <w:t xml:space="preserve"> </w:t>
      </w:r>
      <w:r w:rsidR="006D7729" w:rsidRPr="00297A17">
        <w:t xml:space="preserve">including summaries, pay slips, </w:t>
      </w:r>
      <w:r w:rsidR="003602B5" w:rsidRPr="00297A17">
        <w:t xml:space="preserve">and </w:t>
      </w:r>
      <w:r w:rsidR="006D7729" w:rsidRPr="00297A17">
        <w:t>payroll journals</w:t>
      </w:r>
      <w:r w:rsidR="003602B5" w:rsidRPr="00297A17">
        <w:t xml:space="preserve"> to PRB.</w:t>
      </w:r>
      <w:r w:rsidR="00B50C2F" w:rsidRPr="00297A17">
        <w:t xml:space="preserve"> </w:t>
      </w:r>
    </w:p>
    <w:p w14:paraId="602F36C8" w14:textId="21C85B91" w:rsidR="00B40FFF" w:rsidRPr="00297A17" w:rsidRDefault="00B40FFF" w:rsidP="00B40FFF">
      <w:pPr>
        <w:pStyle w:val="ListParagraph"/>
        <w:numPr>
          <w:ilvl w:val="1"/>
          <w:numId w:val="3"/>
        </w:numPr>
        <w:spacing w:before="0" w:after="0"/>
      </w:pPr>
      <w:r w:rsidRPr="00297A17">
        <w:t>Make all payroll-related payments,</w:t>
      </w:r>
      <w:r w:rsidR="006D7729" w:rsidRPr="00297A17">
        <w:t xml:space="preserve"> including remittance of net salaries and </w:t>
      </w:r>
      <w:r w:rsidR="00B742BB" w:rsidRPr="00297A17">
        <w:t>all relevant payroll deductions &amp; benefits to third parties</w:t>
      </w:r>
      <w:r w:rsidR="00196B30" w:rsidRPr="00297A17">
        <w:t>.</w:t>
      </w:r>
    </w:p>
    <w:p w14:paraId="2E108D91" w14:textId="1609D9C2" w:rsidR="006D7729" w:rsidRPr="00297A17" w:rsidRDefault="006D7729" w:rsidP="006D7729">
      <w:pPr>
        <w:pStyle w:val="ListParagraph"/>
        <w:numPr>
          <w:ilvl w:val="1"/>
          <w:numId w:val="3"/>
        </w:numPr>
        <w:spacing w:before="0" w:after="0"/>
      </w:pPr>
      <w:r w:rsidRPr="00297A17">
        <w:t>File</w:t>
      </w:r>
      <w:r w:rsidR="00B742BB" w:rsidRPr="00297A17">
        <w:t xml:space="preserve"> all relevant</w:t>
      </w:r>
      <w:r w:rsidRPr="00297A17">
        <w:t xml:space="preserve"> tax returns</w:t>
      </w:r>
      <w:r w:rsidR="00B742BB" w:rsidRPr="00297A17">
        <w:t xml:space="preserve"> within the relevant timelines whether</w:t>
      </w:r>
      <w:r w:rsidRPr="00297A17">
        <w:t xml:space="preserve"> monthly, </w:t>
      </w:r>
      <w:r w:rsidR="00B742BB" w:rsidRPr="00297A17">
        <w:t>quarterly,</w:t>
      </w:r>
      <w:r w:rsidRPr="00297A17">
        <w:t xml:space="preserve"> and annually</w:t>
      </w:r>
      <w:r w:rsidR="00196B30" w:rsidRPr="00297A17">
        <w:t>.</w:t>
      </w:r>
    </w:p>
    <w:p w14:paraId="4C13D18F" w14:textId="3D644557" w:rsidR="006D7729" w:rsidRDefault="006D7729" w:rsidP="006D7729">
      <w:pPr>
        <w:pStyle w:val="ListParagraph"/>
        <w:numPr>
          <w:ilvl w:val="1"/>
          <w:numId w:val="3"/>
        </w:numPr>
        <w:spacing w:before="0" w:after="0"/>
      </w:pPr>
      <w:r w:rsidRPr="00BF59D2">
        <w:t xml:space="preserve">Handle payroll-related audits by the state </w:t>
      </w:r>
      <w:r w:rsidR="00B742BB">
        <w:t xml:space="preserve">authorities </w:t>
      </w:r>
      <w:r w:rsidRPr="00BF59D2">
        <w:t>or assigned external auditors</w:t>
      </w:r>
      <w:r w:rsidR="00196B30">
        <w:t>.</w:t>
      </w:r>
    </w:p>
    <w:p w14:paraId="2F5B4BA5" w14:textId="37F94B48" w:rsidR="006D7729" w:rsidRPr="00BF59D2" w:rsidRDefault="006D7729" w:rsidP="006D7729">
      <w:pPr>
        <w:pStyle w:val="ListParagraph"/>
        <w:numPr>
          <w:ilvl w:val="1"/>
          <w:numId w:val="3"/>
        </w:numPr>
        <w:spacing w:before="0" w:after="0"/>
      </w:pPr>
      <w:r w:rsidRPr="00BF59D2">
        <w:t>Store and archive payroll records</w:t>
      </w:r>
      <w:r w:rsidR="00196B30">
        <w:t>.</w:t>
      </w:r>
    </w:p>
    <w:p w14:paraId="7618BB63" w14:textId="3206E957" w:rsidR="00196B30" w:rsidRDefault="006D7729" w:rsidP="00196B30">
      <w:pPr>
        <w:pStyle w:val="ListParagraph"/>
        <w:numPr>
          <w:ilvl w:val="1"/>
          <w:numId w:val="3"/>
        </w:numPr>
        <w:spacing w:before="0" w:after="0"/>
      </w:pPr>
      <w:r w:rsidRPr="00BF59D2">
        <w:t>Provide ad-hoc advice on payroll related changes and updates</w:t>
      </w:r>
      <w:r w:rsidR="00196B30">
        <w:t>.</w:t>
      </w:r>
    </w:p>
    <w:p w14:paraId="005F14FC" w14:textId="359116BB" w:rsidR="00196B30" w:rsidRDefault="00196B30" w:rsidP="00196B30">
      <w:pPr>
        <w:pStyle w:val="ListParagraph"/>
        <w:numPr>
          <w:ilvl w:val="1"/>
          <w:numId w:val="3"/>
        </w:numPr>
        <w:spacing w:before="0" w:after="0"/>
      </w:pPr>
      <w:r>
        <w:t>Monitor legal and regulatory changes affecting employment</w:t>
      </w:r>
      <w:r w:rsidR="008A7EE0">
        <w:t>.</w:t>
      </w:r>
      <w:r>
        <w:t xml:space="preserve"> </w:t>
      </w:r>
      <w:r w:rsidR="00AA729B">
        <w:t xml:space="preserve">Regularly inform staff about upcoming changes and recent developments that affect their take-home pay, pensions, taxes, and other matters. </w:t>
      </w:r>
      <w:r w:rsidR="008A7EE0">
        <w:t>A</w:t>
      </w:r>
      <w:r>
        <w:t xml:space="preserve">dvise PRB </w:t>
      </w:r>
      <w:r w:rsidR="008A7EE0">
        <w:t xml:space="preserve">leadership </w:t>
      </w:r>
      <w:r w:rsidR="00FC5618">
        <w:t>in a timely manner.</w:t>
      </w:r>
    </w:p>
    <w:p w14:paraId="7F4F22C5" w14:textId="6ECF1FC1" w:rsidR="002D6994" w:rsidRDefault="002D6994" w:rsidP="002D6994">
      <w:pPr>
        <w:pStyle w:val="BodyText"/>
        <w:numPr>
          <w:ilvl w:val="0"/>
          <w:numId w:val="3"/>
        </w:numPr>
        <w:spacing w:before="190" w:line="259" w:lineRule="auto"/>
        <w:ind w:right="141"/>
      </w:pPr>
      <w:r>
        <w:t>Ad-hoc services, such as:</w:t>
      </w:r>
    </w:p>
    <w:p w14:paraId="11C444DC" w14:textId="0A76B362" w:rsidR="002D6994" w:rsidRDefault="002D6994" w:rsidP="003D4B3E">
      <w:pPr>
        <w:pStyle w:val="ListParagraph"/>
        <w:numPr>
          <w:ilvl w:val="1"/>
          <w:numId w:val="3"/>
        </w:numPr>
        <w:spacing w:before="0" w:after="0"/>
      </w:pPr>
      <w:r>
        <w:t xml:space="preserve">Advise on salary scales for PRB positions </w:t>
      </w:r>
      <w:r w:rsidR="001D245C">
        <w:t>based on relevant market data and/or benchmark PRB salaries against comparable employers</w:t>
      </w:r>
      <w:r w:rsidR="003D4B3E">
        <w:t>.</w:t>
      </w:r>
    </w:p>
    <w:p w14:paraId="0AF49F5E" w14:textId="4A68BE4F" w:rsidR="00B40FFF" w:rsidRPr="00297A17" w:rsidRDefault="00B40FFF" w:rsidP="003D4B3E">
      <w:pPr>
        <w:pStyle w:val="ListParagraph"/>
        <w:numPr>
          <w:ilvl w:val="1"/>
          <w:numId w:val="3"/>
        </w:numPr>
        <w:spacing w:before="0" w:after="0"/>
      </w:pPr>
      <w:r w:rsidRPr="00297A17">
        <w:t>Advise on benefits, e.g., competitive options for various staff pension schemes.</w:t>
      </w:r>
    </w:p>
    <w:p w14:paraId="31A8C0DF" w14:textId="06CC6A4E" w:rsidR="00FC5618" w:rsidRPr="00297A17" w:rsidRDefault="001D245C" w:rsidP="003D4B3E">
      <w:pPr>
        <w:pStyle w:val="ListParagraph"/>
        <w:numPr>
          <w:ilvl w:val="1"/>
          <w:numId w:val="3"/>
        </w:numPr>
        <w:spacing w:before="0" w:after="0"/>
      </w:pPr>
      <w:r w:rsidRPr="00297A17">
        <w:t>Advise on competitive staff benefit schemes based on comparable employers</w:t>
      </w:r>
      <w:r w:rsidR="003D4B3E" w:rsidRPr="00297A17">
        <w:t>.</w:t>
      </w:r>
    </w:p>
    <w:p w14:paraId="04CCF9C5" w14:textId="6B16F28C" w:rsidR="001D245C" w:rsidRPr="00297A17" w:rsidRDefault="00FC5618" w:rsidP="003D4B3E">
      <w:pPr>
        <w:pStyle w:val="ListParagraph"/>
        <w:numPr>
          <w:ilvl w:val="1"/>
          <w:numId w:val="3"/>
        </w:numPr>
        <w:spacing w:before="0" w:after="0"/>
      </w:pPr>
      <w:r w:rsidRPr="00297A17">
        <w:t>Adapt or develop written human resources policies and procedures to comply with local legal, HR and administrative requirements</w:t>
      </w:r>
      <w:r w:rsidR="003D4B3E" w:rsidRPr="00297A17">
        <w:t>.</w:t>
      </w:r>
    </w:p>
    <w:p w14:paraId="0F94689A" w14:textId="5E551F62" w:rsidR="002F196A" w:rsidRDefault="00B742BB" w:rsidP="00B742BB">
      <w:pPr>
        <w:pStyle w:val="ListParagraph"/>
        <w:numPr>
          <w:ilvl w:val="1"/>
          <w:numId w:val="3"/>
        </w:numPr>
        <w:spacing w:before="0" w:after="0"/>
      </w:pPr>
      <w:r w:rsidRPr="00297A17">
        <w:t xml:space="preserve">Provide ad hoc </w:t>
      </w:r>
      <w:r w:rsidR="00CF39F5" w:rsidRPr="00297A17">
        <w:t>staff sensitizations</w:t>
      </w:r>
      <w:r w:rsidRPr="00297A17">
        <w:t xml:space="preserve"> on the various deductions, access to</w:t>
      </w:r>
      <w:r w:rsidR="00CF39F5" w:rsidRPr="00297A17">
        <w:t xml:space="preserve"> pension </w:t>
      </w:r>
      <w:r w:rsidRPr="00297A17">
        <w:t xml:space="preserve">statements, </w:t>
      </w:r>
      <w:r w:rsidR="009460D7">
        <w:t xml:space="preserve">and </w:t>
      </w:r>
      <w:r w:rsidR="00CF39F5" w:rsidRPr="00297A17">
        <w:t>change</w:t>
      </w:r>
      <w:r w:rsidR="009460D7">
        <w:t>s</w:t>
      </w:r>
      <w:r w:rsidR="00CF39F5" w:rsidRPr="00297A17">
        <w:t xml:space="preserve"> in </w:t>
      </w:r>
      <w:r w:rsidRPr="00297A17">
        <w:t>regulations</w:t>
      </w:r>
      <w:r w:rsidR="009460D7">
        <w:t>.</w:t>
      </w:r>
      <w:r w:rsidR="00F66400">
        <w:t xml:space="preserve"> </w:t>
      </w:r>
    </w:p>
    <w:p w14:paraId="5BA90CE0" w14:textId="350EB076" w:rsidR="00B742BB" w:rsidRPr="00297A17" w:rsidRDefault="00F66400" w:rsidP="00B742BB">
      <w:pPr>
        <w:pStyle w:val="ListParagraph"/>
        <w:numPr>
          <w:ilvl w:val="1"/>
          <w:numId w:val="3"/>
        </w:numPr>
        <w:spacing w:before="0" w:after="0"/>
      </w:pPr>
      <w:r>
        <w:t xml:space="preserve">Address </w:t>
      </w:r>
      <w:r w:rsidR="00B742BB" w:rsidRPr="00297A17">
        <w:t>any</w:t>
      </w:r>
      <w:r w:rsidR="00CF39F5" w:rsidRPr="00297A17">
        <w:t xml:space="preserve"> concerns </w:t>
      </w:r>
      <w:r w:rsidR="00B742BB" w:rsidRPr="00297A17">
        <w:t xml:space="preserve">raised by staff through centralized channels of </w:t>
      </w:r>
      <w:r w:rsidR="00B742BB" w:rsidRPr="00297A17">
        <w:lastRenderedPageBreak/>
        <w:t>communication.</w:t>
      </w:r>
    </w:p>
    <w:p w14:paraId="24F75E5C" w14:textId="77777777" w:rsidR="004701EA" w:rsidRDefault="004701EA" w:rsidP="004701EA">
      <w:pPr>
        <w:spacing w:after="0"/>
      </w:pPr>
    </w:p>
    <w:p w14:paraId="315016BC" w14:textId="15DA196F" w:rsidR="00FC5618" w:rsidRDefault="00FC5618" w:rsidP="00FC5618">
      <w:pPr>
        <w:pStyle w:val="Heading2"/>
      </w:pPr>
      <w:r>
        <w:t>Selection Criteria</w:t>
      </w:r>
    </w:p>
    <w:p w14:paraId="7C7C9997" w14:textId="070226DC" w:rsidR="00FC5618" w:rsidRDefault="00F85722" w:rsidP="00FC5618">
      <w:pPr>
        <w:pStyle w:val="BodyText"/>
        <w:spacing w:before="190" w:line="259" w:lineRule="auto"/>
        <w:ind w:right="141"/>
      </w:pPr>
      <w:r>
        <w:t>All i</w:t>
      </w:r>
      <w:r w:rsidR="00BE1FAD">
        <w:t xml:space="preserve">nterested vendors </w:t>
      </w:r>
      <w:r w:rsidR="00BE1FAD" w:rsidRPr="00BE1FAD">
        <w:rPr>
          <w:b/>
          <w:bCs/>
          <w:u w:val="single"/>
        </w:rPr>
        <w:t>must</w:t>
      </w:r>
      <w:r w:rsidR="00BE1FAD">
        <w:t xml:space="preserve"> </w:t>
      </w:r>
      <w:r w:rsidR="003D4B3E" w:rsidRPr="003D4B3E">
        <w:t>mee</w:t>
      </w:r>
      <w:r w:rsidR="003D4B3E">
        <w:t xml:space="preserve">t </w:t>
      </w:r>
      <w:r w:rsidR="00FC5618">
        <w:t>the following criteria</w:t>
      </w:r>
      <w:r w:rsidR="00EA7B92">
        <w:t>:</w:t>
      </w:r>
    </w:p>
    <w:p w14:paraId="3B901B21" w14:textId="77777777" w:rsidR="00133D55" w:rsidRDefault="003D4B3E" w:rsidP="00133D55">
      <w:pPr>
        <w:pStyle w:val="BodyText"/>
        <w:numPr>
          <w:ilvl w:val="0"/>
          <w:numId w:val="3"/>
        </w:numPr>
        <w:spacing w:after="0" w:line="259" w:lineRule="auto"/>
        <w:ind w:right="144"/>
      </w:pPr>
      <w:r w:rsidRPr="00133D55">
        <w:t>Ability to c</w:t>
      </w:r>
      <w:r w:rsidR="00FC5618" w:rsidRPr="00133D55">
        <w:t xml:space="preserve">ommunicate in English </w:t>
      </w:r>
      <w:r w:rsidRPr="00133D55">
        <w:t xml:space="preserve">with PRB </w:t>
      </w:r>
      <w:r w:rsidR="00FC5618" w:rsidRPr="00133D55">
        <w:t xml:space="preserve">(including any reports) </w:t>
      </w:r>
    </w:p>
    <w:p w14:paraId="37ABC326" w14:textId="7016F3B3" w:rsidR="00D4162F" w:rsidRDefault="003D4B3E" w:rsidP="00133D55">
      <w:pPr>
        <w:pStyle w:val="BodyText"/>
        <w:numPr>
          <w:ilvl w:val="0"/>
          <w:numId w:val="3"/>
        </w:numPr>
        <w:spacing w:after="0" w:line="259" w:lineRule="auto"/>
        <w:ind w:right="144"/>
      </w:pPr>
      <w:r w:rsidRPr="00133D55">
        <w:t>If</w:t>
      </w:r>
      <w:r>
        <w:t xml:space="preserve"> supporting PRB’s presence in Senegal, ability to operate and communicate in French with PRB staff, local authorities, etc.</w:t>
      </w:r>
      <w:r w:rsidR="00D37C96">
        <w:t xml:space="preserve"> </w:t>
      </w:r>
    </w:p>
    <w:p w14:paraId="02C48A60" w14:textId="715F1ABC" w:rsidR="00C41E13" w:rsidRDefault="00C41E13" w:rsidP="00133D55">
      <w:pPr>
        <w:pStyle w:val="BodyText"/>
        <w:numPr>
          <w:ilvl w:val="0"/>
          <w:numId w:val="3"/>
        </w:numPr>
        <w:spacing w:after="0" w:line="259" w:lineRule="auto"/>
        <w:ind w:right="144"/>
      </w:pPr>
      <w:r>
        <w:t xml:space="preserve">Ability to process </w:t>
      </w:r>
      <w:r w:rsidR="00E61A3A">
        <w:t xml:space="preserve">and remit </w:t>
      </w:r>
      <w:r w:rsidR="00351803">
        <w:t xml:space="preserve">monthly </w:t>
      </w:r>
      <w:r>
        <w:t xml:space="preserve">payroll </w:t>
      </w:r>
      <w:r w:rsidR="00351803">
        <w:t>(including PRB review and approval) by the 1</w:t>
      </w:r>
      <w:r w:rsidR="00E61A3A">
        <w:t>5</w:t>
      </w:r>
      <w:r w:rsidR="00351803" w:rsidRPr="002F196A">
        <w:rPr>
          <w:vertAlign w:val="superscript"/>
        </w:rPr>
        <w:t>th</w:t>
      </w:r>
      <w:r w:rsidR="00351803">
        <w:t xml:space="preserve"> of the month.</w:t>
      </w:r>
    </w:p>
    <w:p w14:paraId="2EF50232" w14:textId="3667B9A1" w:rsidR="00B348A7" w:rsidRPr="00133D55" w:rsidRDefault="00B348A7" w:rsidP="00133D55">
      <w:pPr>
        <w:pStyle w:val="BodyText"/>
        <w:numPr>
          <w:ilvl w:val="0"/>
          <w:numId w:val="3"/>
        </w:numPr>
        <w:spacing w:after="0" w:line="259" w:lineRule="auto"/>
        <w:ind w:right="144"/>
      </w:pPr>
      <w:r>
        <w:t>Ability to respond to ad-hoc request</w:t>
      </w:r>
      <w:r w:rsidR="00C52360">
        <w:t>s</w:t>
      </w:r>
      <w:r>
        <w:t xml:space="preserve"> within 2 business days.</w:t>
      </w:r>
    </w:p>
    <w:p w14:paraId="63B23868" w14:textId="77777777" w:rsidR="00D37C96" w:rsidRDefault="00D37C96" w:rsidP="00D37C96">
      <w:pPr>
        <w:pStyle w:val="BodyText"/>
        <w:spacing w:after="0" w:line="259" w:lineRule="auto"/>
        <w:ind w:left="360" w:right="144"/>
      </w:pPr>
    </w:p>
    <w:p w14:paraId="7041E71C" w14:textId="389BA1E9" w:rsidR="00147544" w:rsidRDefault="008D0C2E" w:rsidP="00147544">
      <w:pPr>
        <w:pStyle w:val="BodyText"/>
        <w:spacing w:after="0" w:line="259" w:lineRule="auto"/>
        <w:ind w:right="144"/>
      </w:pPr>
      <w:r>
        <w:t>PRB will evaluate vendors and proposals based on the following criteria:</w:t>
      </w:r>
    </w:p>
    <w:p w14:paraId="5C56873D" w14:textId="3FC9B7C4" w:rsidR="008B0D40" w:rsidRDefault="008B0D40" w:rsidP="008B0D40">
      <w:pPr>
        <w:pStyle w:val="BodyText"/>
        <w:numPr>
          <w:ilvl w:val="0"/>
          <w:numId w:val="3"/>
        </w:numPr>
        <w:spacing w:after="0" w:line="259" w:lineRule="auto"/>
        <w:ind w:right="144"/>
      </w:pPr>
      <w:r>
        <w:t>Range of services provided, and extent to which they address PRB’s requirements.</w:t>
      </w:r>
    </w:p>
    <w:p w14:paraId="6DA18C05" w14:textId="4E245024" w:rsidR="001F3D5C" w:rsidRDefault="002D48DF" w:rsidP="001F3D5C">
      <w:pPr>
        <w:pStyle w:val="BodyText"/>
        <w:numPr>
          <w:ilvl w:val="0"/>
          <w:numId w:val="3"/>
        </w:numPr>
        <w:spacing w:after="0" w:line="259" w:lineRule="auto"/>
        <w:ind w:right="144"/>
      </w:pPr>
      <w:r>
        <w:t>Reputation and history, including years of experience</w:t>
      </w:r>
      <w:r w:rsidR="0019339E">
        <w:t>, especially experience working with US-based nonprofit organizations, nature of references provided,</w:t>
      </w:r>
      <w:r w:rsidR="008B0D40">
        <w:t xml:space="preserve"> and </w:t>
      </w:r>
      <w:r w:rsidR="0019339E">
        <w:t xml:space="preserve">the </w:t>
      </w:r>
      <w:r w:rsidR="00312190">
        <w:t xml:space="preserve">outcome of </w:t>
      </w:r>
      <w:r w:rsidR="008B0D40">
        <w:t>reference checks</w:t>
      </w:r>
      <w:r w:rsidR="001F3D5C">
        <w:t>.</w:t>
      </w:r>
    </w:p>
    <w:p w14:paraId="225E38BC" w14:textId="77777777" w:rsidR="00560225" w:rsidRDefault="00560225" w:rsidP="00560225">
      <w:pPr>
        <w:pStyle w:val="BodyText"/>
        <w:numPr>
          <w:ilvl w:val="0"/>
          <w:numId w:val="3"/>
        </w:numPr>
        <w:spacing w:after="0" w:line="259" w:lineRule="auto"/>
        <w:ind w:right="144"/>
      </w:pPr>
      <w:r w:rsidRPr="00133D55">
        <w:t>Sound understanding of statutory laws &amp; regulations in the country or countries supported.</w:t>
      </w:r>
    </w:p>
    <w:p w14:paraId="0BAB5376" w14:textId="77777777" w:rsidR="000336F6" w:rsidRPr="00BC13D6" w:rsidRDefault="000336F6" w:rsidP="000336F6">
      <w:pPr>
        <w:pStyle w:val="BodyText"/>
        <w:numPr>
          <w:ilvl w:val="0"/>
          <w:numId w:val="3"/>
        </w:numPr>
        <w:spacing w:after="0" w:line="259" w:lineRule="auto"/>
        <w:ind w:right="144"/>
      </w:pPr>
      <w:r>
        <w:t xml:space="preserve">Geographical scope. </w:t>
      </w:r>
      <w:r w:rsidRPr="00BC13D6">
        <w:t xml:space="preserve">Vendors who can support </w:t>
      </w:r>
      <w:r w:rsidRPr="00A435A7">
        <w:rPr>
          <w:u w:val="single"/>
        </w:rPr>
        <w:t>both</w:t>
      </w:r>
      <w:r w:rsidRPr="00BC13D6">
        <w:t xml:space="preserve"> Senegal and Kenya</w:t>
      </w:r>
      <w:r>
        <w:t xml:space="preserve"> are preferred.</w:t>
      </w:r>
      <w:r w:rsidRPr="00BC13D6">
        <w:t xml:space="preserve"> </w:t>
      </w:r>
      <w:r>
        <w:t xml:space="preserve">Ability to support additional countries in West and East Africa is a plus. </w:t>
      </w:r>
    </w:p>
    <w:p w14:paraId="0112CDFA" w14:textId="2AD7AE4F" w:rsidR="001F3D5C" w:rsidRDefault="001F3D5C" w:rsidP="001F3D5C">
      <w:pPr>
        <w:pStyle w:val="BodyText"/>
        <w:numPr>
          <w:ilvl w:val="0"/>
          <w:numId w:val="3"/>
        </w:numPr>
        <w:spacing w:after="0" w:line="259" w:lineRule="auto"/>
        <w:ind w:right="144"/>
      </w:pPr>
      <w:r>
        <w:t>Evidence of vendor’s competence in providing required services</w:t>
      </w:r>
      <w:r w:rsidR="00D4162F">
        <w:t xml:space="preserve"> in a timely, efficient manner</w:t>
      </w:r>
      <w:r>
        <w:t>.</w:t>
      </w:r>
    </w:p>
    <w:p w14:paraId="676A511A" w14:textId="1D00B293" w:rsidR="00BE1FAD" w:rsidRDefault="00312190" w:rsidP="00147544">
      <w:pPr>
        <w:pStyle w:val="BodyText"/>
        <w:numPr>
          <w:ilvl w:val="0"/>
          <w:numId w:val="3"/>
        </w:numPr>
        <w:spacing w:after="0" w:line="259" w:lineRule="auto"/>
        <w:ind w:right="144"/>
      </w:pPr>
      <w:r>
        <w:t>Price</w:t>
      </w:r>
      <w:r w:rsidR="00013588">
        <w:t xml:space="preserve"> </w:t>
      </w:r>
      <w:r w:rsidR="00270C11">
        <w:t xml:space="preserve">and pricing model </w:t>
      </w:r>
      <w:r w:rsidR="00013588">
        <w:t xml:space="preserve">for (a) EOR services and (b) ad-hoc services. PRB prefers a flexible </w:t>
      </w:r>
      <w:r w:rsidRPr="00BC13D6">
        <w:t>pricing model</w:t>
      </w:r>
      <w:r w:rsidR="00013588">
        <w:t xml:space="preserve"> under which </w:t>
      </w:r>
      <w:r w:rsidRPr="00BC13D6">
        <w:t xml:space="preserve">payments for EOR services </w:t>
      </w:r>
      <w:r w:rsidR="00013588">
        <w:t xml:space="preserve">are paid based on the total number of employees </w:t>
      </w:r>
      <w:r w:rsidR="00270C11">
        <w:t xml:space="preserve">engaged through the vendor, </w:t>
      </w:r>
      <w:proofErr w:type="gramStart"/>
      <w:r w:rsidR="00270C11">
        <w:t>i.e.</w:t>
      </w:r>
      <w:proofErr w:type="gramEnd"/>
      <w:r w:rsidR="00270C11">
        <w:t xml:space="preserve"> without minimum monthly dues.</w:t>
      </w:r>
      <w:r w:rsidRPr="00BC13D6">
        <w:t xml:space="preserve"> </w:t>
      </w:r>
    </w:p>
    <w:p w14:paraId="5C9D7DEE" w14:textId="1C0FD416" w:rsidR="002D6994" w:rsidRDefault="005F2C22" w:rsidP="005F2C22">
      <w:pPr>
        <w:pStyle w:val="Heading2"/>
      </w:pPr>
      <w:r>
        <w:t>Proposal Instructions</w:t>
      </w:r>
    </w:p>
    <w:p w14:paraId="4D3BB4F9" w14:textId="5AD65AED" w:rsidR="00BE1FAD" w:rsidRPr="00BE1FAD" w:rsidRDefault="00BE1FAD" w:rsidP="00BE1FAD">
      <w:pPr>
        <w:pStyle w:val="Heading3"/>
      </w:pPr>
      <w:r>
        <w:t>Contract</w:t>
      </w:r>
    </w:p>
    <w:p w14:paraId="3589CABF" w14:textId="00E40DE4" w:rsidR="00B26FEA" w:rsidRDefault="00B77071" w:rsidP="00B26FEA">
      <w:pPr>
        <w:widowControl/>
        <w:adjustRightInd w:val="0"/>
        <w:spacing w:after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PRB intends to award </w:t>
      </w:r>
      <w:r w:rsidR="00B26FEA">
        <w:rPr>
          <w:rFonts w:eastAsiaTheme="minorHAnsi"/>
          <w:szCs w:val="24"/>
          <w:lang w:bidi="ar-SA"/>
        </w:rPr>
        <w:t xml:space="preserve">a </w:t>
      </w:r>
      <w:r w:rsidR="00362EC7">
        <w:rPr>
          <w:rFonts w:eastAsiaTheme="minorHAnsi"/>
          <w:szCs w:val="24"/>
          <w:lang w:bidi="ar-SA"/>
        </w:rPr>
        <w:t>contract to the</w:t>
      </w:r>
      <w:r w:rsidR="00B26FEA">
        <w:rPr>
          <w:rFonts w:eastAsiaTheme="minorHAnsi"/>
          <w:szCs w:val="24"/>
          <w:lang w:bidi="ar-SA"/>
        </w:rPr>
        <w:t xml:space="preserve"> </w:t>
      </w:r>
      <w:r w:rsidR="00362EC7">
        <w:rPr>
          <w:rFonts w:eastAsiaTheme="minorHAnsi"/>
          <w:szCs w:val="24"/>
          <w:lang w:bidi="ar-SA"/>
        </w:rPr>
        <w:t>responsible vendor whose proposal provides best value to PRB. This contract is expected to</w:t>
      </w:r>
      <w:r w:rsidR="00B26FEA">
        <w:rPr>
          <w:rFonts w:eastAsiaTheme="minorHAnsi"/>
          <w:szCs w:val="24"/>
          <w:lang w:bidi="ar-SA"/>
        </w:rPr>
        <w:t xml:space="preserve"> </w:t>
      </w:r>
      <w:r w:rsidR="00362EC7">
        <w:rPr>
          <w:rFonts w:eastAsiaTheme="minorHAnsi"/>
          <w:szCs w:val="24"/>
          <w:lang w:bidi="ar-SA"/>
        </w:rPr>
        <w:t>have a base period of one year and up to two option periods of one additional year each. We</w:t>
      </w:r>
      <w:r w:rsidR="00B26FEA">
        <w:rPr>
          <w:rFonts w:eastAsiaTheme="minorHAnsi"/>
          <w:szCs w:val="24"/>
          <w:lang w:bidi="ar-SA"/>
        </w:rPr>
        <w:t xml:space="preserve"> </w:t>
      </w:r>
      <w:r w:rsidR="00362EC7">
        <w:rPr>
          <w:rFonts w:eastAsiaTheme="minorHAnsi"/>
          <w:szCs w:val="24"/>
          <w:lang w:bidi="ar-SA"/>
        </w:rPr>
        <w:t>reserve the right to make multiple awards based on this solicitation. We also reserve the right</w:t>
      </w:r>
      <w:r w:rsidR="00B26FEA">
        <w:rPr>
          <w:rFonts w:eastAsiaTheme="minorHAnsi"/>
          <w:szCs w:val="24"/>
          <w:lang w:bidi="ar-SA"/>
        </w:rPr>
        <w:t xml:space="preserve"> </w:t>
      </w:r>
      <w:r w:rsidR="00362EC7">
        <w:rPr>
          <w:rFonts w:eastAsiaTheme="minorHAnsi"/>
          <w:szCs w:val="24"/>
          <w:lang w:bidi="ar-SA"/>
        </w:rPr>
        <w:t>not to award a contract to any offeror, or to award the contract to other than the lowest‐price</w:t>
      </w:r>
      <w:r w:rsidR="00B26FEA">
        <w:rPr>
          <w:rFonts w:eastAsiaTheme="minorHAnsi"/>
          <w:szCs w:val="24"/>
          <w:lang w:bidi="ar-SA"/>
        </w:rPr>
        <w:t xml:space="preserve"> </w:t>
      </w:r>
      <w:r w:rsidR="00362EC7">
        <w:rPr>
          <w:rFonts w:eastAsiaTheme="minorHAnsi"/>
          <w:szCs w:val="24"/>
          <w:lang w:bidi="ar-SA"/>
        </w:rPr>
        <w:t>offeror.</w:t>
      </w:r>
      <w:r w:rsidR="00CF39F5">
        <w:rPr>
          <w:rFonts w:eastAsiaTheme="minorHAnsi"/>
          <w:szCs w:val="24"/>
          <w:lang w:bidi="ar-SA"/>
        </w:rPr>
        <w:t xml:space="preserve"> </w:t>
      </w:r>
    </w:p>
    <w:p w14:paraId="0CD25C1D" w14:textId="77777777" w:rsidR="006C7616" w:rsidRPr="00CF39F5" w:rsidRDefault="006C7616" w:rsidP="00B26FEA">
      <w:pPr>
        <w:widowControl/>
        <w:adjustRightInd w:val="0"/>
        <w:spacing w:after="0"/>
        <w:rPr>
          <w:rFonts w:eastAsiaTheme="minorHAnsi"/>
          <w:szCs w:val="24"/>
          <w:lang w:bidi="ar-SA"/>
        </w:rPr>
      </w:pPr>
    </w:p>
    <w:p w14:paraId="71EF97A8" w14:textId="350C24D8" w:rsidR="00CF39F5" w:rsidRPr="00D37C96" w:rsidRDefault="0071184B" w:rsidP="002D6994">
      <w:pPr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The successful offeror will be required to sign the Byrd Anti‐Lobbying Amendment Certification</w:t>
      </w:r>
      <w:r w:rsidR="00DC4E3E">
        <w:rPr>
          <w:rFonts w:eastAsiaTheme="minorHAnsi"/>
          <w:szCs w:val="24"/>
          <w:lang w:bidi="ar-SA"/>
        </w:rPr>
        <w:t xml:space="preserve"> (for </w:t>
      </w:r>
      <w:r w:rsidR="00DC4E3E">
        <w:rPr>
          <w:rFonts w:eastAsiaTheme="minorHAnsi"/>
          <w:color w:val="000000"/>
          <w:szCs w:val="24"/>
          <w:lang w:bidi="ar-SA"/>
        </w:rPr>
        <w:t>exampl</w:t>
      </w:r>
      <w:r w:rsidR="00B26FEA">
        <w:rPr>
          <w:rFonts w:eastAsiaTheme="minorHAnsi"/>
          <w:color w:val="000000"/>
          <w:szCs w:val="24"/>
          <w:lang w:bidi="ar-SA"/>
        </w:rPr>
        <w:t xml:space="preserve">e </w:t>
      </w:r>
      <w:hyperlink r:id="rId8" w:history="1">
        <w:r w:rsidR="00B26FEA" w:rsidRPr="00B26FEA">
          <w:rPr>
            <w:rStyle w:val="Hyperlink"/>
            <w:rFonts w:eastAsiaTheme="minorHAnsi"/>
            <w:szCs w:val="24"/>
            <w:lang w:bidi="ar-SA"/>
          </w:rPr>
          <w:t>http://www.bidnet.com/bneattachments?/489400049.pdf</w:t>
        </w:r>
      </w:hyperlink>
      <w:r w:rsidR="00B26FEA">
        <w:rPr>
          <w:rFonts w:eastAsiaTheme="minorHAnsi"/>
          <w:color w:val="000000"/>
          <w:szCs w:val="24"/>
          <w:lang w:bidi="ar-SA"/>
        </w:rPr>
        <w:t>)</w:t>
      </w:r>
      <w:r w:rsidR="00D37C96">
        <w:rPr>
          <w:rFonts w:eastAsiaTheme="minorHAnsi"/>
          <w:szCs w:val="24"/>
          <w:lang w:bidi="ar-SA"/>
        </w:rPr>
        <w:t xml:space="preserve">. </w:t>
      </w:r>
      <w:r w:rsidR="00B40FFF" w:rsidRPr="00297A17">
        <w:rPr>
          <w:rFonts w:eastAsiaTheme="minorHAnsi"/>
          <w:szCs w:val="24"/>
          <w:lang w:bidi="ar-SA"/>
        </w:rPr>
        <w:t xml:space="preserve">PRB’s contract with the successful offeror will allow PRB to terminate the contract for convenience (with a </w:t>
      </w:r>
      <w:r w:rsidR="00B40FFF" w:rsidRPr="00297A17">
        <w:rPr>
          <w:rFonts w:eastAsiaTheme="minorHAnsi"/>
          <w:szCs w:val="24"/>
          <w:lang w:bidi="ar-SA"/>
        </w:rPr>
        <w:lastRenderedPageBreak/>
        <w:t xml:space="preserve">reasonable notice period) if PRB is not satisfied with the level of service provided. </w:t>
      </w:r>
    </w:p>
    <w:p w14:paraId="39F0D0E6" w14:textId="5EEA2FFA" w:rsidR="00DC4E3E" w:rsidRPr="00DC4E3E" w:rsidRDefault="00DC4E3E" w:rsidP="00DC4E3E">
      <w:pPr>
        <w:pStyle w:val="Heading3"/>
      </w:pPr>
      <w:r w:rsidRPr="00DC4E3E">
        <w:t>Due Dates</w:t>
      </w:r>
    </w:p>
    <w:p w14:paraId="5C981665" w14:textId="036AF976" w:rsidR="00DC4E3E" w:rsidRDefault="00DC4E3E" w:rsidP="002D6994">
      <w:r>
        <w:t xml:space="preserve">Interested vendors should submit questions and proposals via email to Kevin Kariuki, </w:t>
      </w:r>
      <w:hyperlink r:id="rId9" w:history="1">
        <w:r w:rsidRPr="00887DC1">
          <w:rPr>
            <w:rStyle w:val="Hyperlink"/>
          </w:rPr>
          <w:t>kkariuki@prb.org</w:t>
        </w:r>
      </w:hyperlink>
      <w:r>
        <w:t xml:space="preserve"> by the following dates. Questions and proposals received after these dates will not be considered:</w:t>
      </w:r>
    </w:p>
    <w:p w14:paraId="2803FED6" w14:textId="0381EDD4" w:rsidR="00DC4E3E" w:rsidRDefault="00DC4E3E" w:rsidP="00DC4E3E">
      <w:pPr>
        <w:pStyle w:val="ListParagraph"/>
        <w:numPr>
          <w:ilvl w:val="0"/>
          <w:numId w:val="3"/>
        </w:numPr>
      </w:pPr>
      <w:r>
        <w:t>Questions due</w:t>
      </w:r>
      <w:r w:rsidR="00D76641">
        <w:t xml:space="preserve"> by</w:t>
      </w:r>
      <w:r>
        <w:t xml:space="preserve"> (in writing) </w:t>
      </w:r>
      <w:r w:rsidR="005C4191">
        <w:rPr>
          <w:b/>
          <w:bCs/>
        </w:rPr>
        <w:t>7</w:t>
      </w:r>
      <w:r w:rsidR="00D76641" w:rsidRPr="00B924B7">
        <w:rPr>
          <w:b/>
          <w:bCs/>
          <w:vertAlign w:val="superscript"/>
        </w:rPr>
        <w:t>th</w:t>
      </w:r>
      <w:r w:rsidR="00D76641" w:rsidRPr="00B924B7">
        <w:rPr>
          <w:b/>
          <w:bCs/>
        </w:rPr>
        <w:t xml:space="preserve"> </w:t>
      </w:r>
      <w:r w:rsidR="00B924B7" w:rsidRPr="00B924B7">
        <w:rPr>
          <w:b/>
          <w:bCs/>
        </w:rPr>
        <w:t>Decem</w:t>
      </w:r>
      <w:r w:rsidR="00D76641" w:rsidRPr="00B924B7">
        <w:rPr>
          <w:b/>
          <w:bCs/>
        </w:rPr>
        <w:t xml:space="preserve">ber 2023.   </w:t>
      </w:r>
    </w:p>
    <w:p w14:paraId="54CD1973" w14:textId="7B7B3550" w:rsidR="00DC4E3E" w:rsidRDefault="00DC4E3E" w:rsidP="00DC4E3E">
      <w:pPr>
        <w:pStyle w:val="ListParagraph"/>
        <w:numPr>
          <w:ilvl w:val="0"/>
          <w:numId w:val="3"/>
        </w:numPr>
      </w:pPr>
      <w:r>
        <w:t xml:space="preserve">Proposals due </w:t>
      </w:r>
      <w:r w:rsidR="00B924B7">
        <w:rPr>
          <w:b/>
          <w:bCs/>
        </w:rPr>
        <w:t>15</w:t>
      </w:r>
      <w:r w:rsidR="00D76641" w:rsidRPr="00B924B7">
        <w:rPr>
          <w:b/>
          <w:bCs/>
          <w:vertAlign w:val="superscript"/>
        </w:rPr>
        <w:t>t</w:t>
      </w:r>
      <w:r w:rsidR="00B924B7">
        <w:rPr>
          <w:b/>
          <w:bCs/>
          <w:vertAlign w:val="superscript"/>
        </w:rPr>
        <w:t>h</w:t>
      </w:r>
      <w:r w:rsidR="00D76641" w:rsidRPr="00B924B7">
        <w:rPr>
          <w:b/>
          <w:bCs/>
        </w:rPr>
        <w:t xml:space="preserve"> </w:t>
      </w:r>
      <w:r w:rsidR="00B924B7">
        <w:rPr>
          <w:b/>
          <w:bCs/>
        </w:rPr>
        <w:t>Decem</w:t>
      </w:r>
      <w:r w:rsidR="00D76641" w:rsidRPr="00B924B7">
        <w:rPr>
          <w:b/>
          <w:bCs/>
        </w:rPr>
        <w:t>ber 2023</w:t>
      </w:r>
      <w:r w:rsidR="00CE49F4" w:rsidRPr="00B924B7">
        <w:rPr>
          <w:b/>
          <w:bCs/>
        </w:rPr>
        <w:t>.</w:t>
      </w:r>
    </w:p>
    <w:p w14:paraId="5277C9BA" w14:textId="73E96A67" w:rsidR="00BE1FAD" w:rsidRDefault="00BE1FAD" w:rsidP="00BE1FAD">
      <w:pPr>
        <w:pStyle w:val="Heading3"/>
      </w:pPr>
      <w:r>
        <w:t>Requirements</w:t>
      </w:r>
    </w:p>
    <w:p w14:paraId="773C68C2" w14:textId="34D0B673" w:rsidR="00A435A7" w:rsidRDefault="00A435A7" w:rsidP="00A435A7">
      <w:pPr>
        <w:pStyle w:val="BodyText"/>
        <w:spacing w:after="0" w:line="259" w:lineRule="auto"/>
        <w:ind w:right="144"/>
      </w:pPr>
      <w:r>
        <w:t xml:space="preserve">We </w:t>
      </w:r>
      <w:r w:rsidRPr="00A435A7">
        <w:rPr>
          <w:u w:val="single"/>
        </w:rPr>
        <w:t>strongly</w:t>
      </w:r>
      <w:r>
        <w:t xml:space="preserve"> encourage interested vendors to write clear and concise proposals that directly address our requirements. </w:t>
      </w:r>
      <w:r w:rsidR="00B924B7">
        <w:t xml:space="preserve">Proposals should have a </w:t>
      </w:r>
      <w:r w:rsidR="00B924B7" w:rsidRPr="00B924B7">
        <w:rPr>
          <w:u w:val="single"/>
        </w:rPr>
        <w:t>core page limit of 12 pages.</w:t>
      </w:r>
    </w:p>
    <w:p w14:paraId="5A7B4875" w14:textId="77777777" w:rsidR="00BC1C5F" w:rsidRDefault="00BC1C5F" w:rsidP="00A435A7">
      <w:pPr>
        <w:pStyle w:val="BodyText"/>
        <w:spacing w:after="0" w:line="259" w:lineRule="auto"/>
        <w:ind w:right="144"/>
      </w:pPr>
    </w:p>
    <w:p w14:paraId="1B5A6FE2" w14:textId="15ACCA0F" w:rsidR="00A435A7" w:rsidRDefault="00A435A7" w:rsidP="00A435A7">
      <w:pPr>
        <w:pStyle w:val="BodyText"/>
        <w:spacing w:after="0" w:line="259" w:lineRule="auto"/>
        <w:ind w:right="144"/>
      </w:pPr>
      <w:r>
        <w:t xml:space="preserve">Proposals </w:t>
      </w:r>
      <w:r w:rsidR="002D6994" w:rsidRPr="00A435A7">
        <w:rPr>
          <w:u w:val="single"/>
        </w:rPr>
        <w:t>must</w:t>
      </w:r>
      <w:r w:rsidR="002D6994" w:rsidRPr="006E48F2">
        <w:t xml:space="preserve"> include the following information</w:t>
      </w:r>
      <w:r w:rsidR="005F2C22">
        <w:t xml:space="preserve">. Incomplete proposals </w:t>
      </w:r>
      <w:r w:rsidR="005F2C22" w:rsidRPr="00A435A7">
        <w:rPr>
          <w:u w:val="single"/>
        </w:rPr>
        <w:t>will not be considered</w:t>
      </w:r>
      <w:r w:rsidR="005F2C22" w:rsidRPr="005F2C22">
        <w:t>.</w:t>
      </w:r>
    </w:p>
    <w:p w14:paraId="4093F289" w14:textId="77777777" w:rsidR="00BC1C5F" w:rsidRDefault="00BC1C5F" w:rsidP="00A435A7">
      <w:pPr>
        <w:pStyle w:val="BodyText"/>
        <w:spacing w:after="0" w:line="259" w:lineRule="auto"/>
        <w:ind w:right="144"/>
      </w:pPr>
    </w:p>
    <w:p w14:paraId="2815EEDD" w14:textId="68C90E05" w:rsidR="002D6994" w:rsidRDefault="0075388C" w:rsidP="005F2C22">
      <w:pPr>
        <w:pStyle w:val="ListParagraph"/>
        <w:numPr>
          <w:ilvl w:val="0"/>
          <w:numId w:val="2"/>
        </w:numPr>
      </w:pPr>
      <w:r>
        <w:t>Completed version of the following table:</w:t>
      </w:r>
    </w:p>
    <w:tbl>
      <w:tblPr>
        <w:tblStyle w:val="TableGrid"/>
        <w:tblW w:w="0" w:type="auto"/>
        <w:tblInd w:w="720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391"/>
        <w:gridCol w:w="4239"/>
      </w:tblGrid>
      <w:tr w:rsidR="0075388C" w14:paraId="65A4996F" w14:textId="77777777" w:rsidTr="002A6624">
        <w:tc>
          <w:tcPr>
            <w:tcW w:w="4486" w:type="dxa"/>
          </w:tcPr>
          <w:p w14:paraId="2399E31D" w14:textId="594DE40F" w:rsidR="0075388C" w:rsidRDefault="0075388C" w:rsidP="0075388C">
            <w:pPr>
              <w:spacing w:after="0"/>
            </w:pPr>
            <w:r>
              <w:t>Full legal name of the organization</w:t>
            </w:r>
          </w:p>
        </w:tc>
        <w:tc>
          <w:tcPr>
            <w:tcW w:w="4370" w:type="dxa"/>
          </w:tcPr>
          <w:p w14:paraId="61AA845C" w14:textId="77777777" w:rsidR="0075388C" w:rsidRDefault="0075388C" w:rsidP="0075388C">
            <w:pPr>
              <w:spacing w:after="0"/>
            </w:pPr>
          </w:p>
        </w:tc>
      </w:tr>
      <w:tr w:rsidR="0075388C" w14:paraId="186E9DF1" w14:textId="77777777" w:rsidTr="002A6624">
        <w:tc>
          <w:tcPr>
            <w:tcW w:w="4486" w:type="dxa"/>
          </w:tcPr>
          <w:p w14:paraId="769F1342" w14:textId="1DDFE5E2" w:rsidR="0075388C" w:rsidRDefault="0075388C" w:rsidP="0075388C">
            <w:pPr>
              <w:spacing w:after="0"/>
            </w:pPr>
            <w:r>
              <w:t xml:space="preserve">Physical address </w:t>
            </w:r>
          </w:p>
        </w:tc>
        <w:tc>
          <w:tcPr>
            <w:tcW w:w="4370" w:type="dxa"/>
          </w:tcPr>
          <w:p w14:paraId="4FB2C64F" w14:textId="77777777" w:rsidR="0075388C" w:rsidRDefault="0075388C" w:rsidP="0075388C">
            <w:pPr>
              <w:spacing w:after="0"/>
            </w:pPr>
          </w:p>
        </w:tc>
      </w:tr>
      <w:tr w:rsidR="002A6624" w14:paraId="2416BA07" w14:textId="77777777" w:rsidTr="002A6624">
        <w:tc>
          <w:tcPr>
            <w:tcW w:w="4486" w:type="dxa"/>
          </w:tcPr>
          <w:p w14:paraId="53DD300F" w14:textId="2AA96FFE" w:rsidR="002A6624" w:rsidRDefault="002A6624" w:rsidP="0075388C">
            <w:pPr>
              <w:spacing w:after="0"/>
            </w:pPr>
            <w:r>
              <w:t>Date since which the organization has been in business</w:t>
            </w:r>
          </w:p>
        </w:tc>
        <w:tc>
          <w:tcPr>
            <w:tcW w:w="4370" w:type="dxa"/>
          </w:tcPr>
          <w:p w14:paraId="6789949A" w14:textId="77777777" w:rsidR="002A6624" w:rsidRDefault="002A6624" w:rsidP="0075388C">
            <w:pPr>
              <w:spacing w:after="0"/>
            </w:pPr>
          </w:p>
        </w:tc>
      </w:tr>
      <w:tr w:rsidR="002A6624" w14:paraId="7CECA019" w14:textId="77777777" w:rsidTr="002A6624">
        <w:tc>
          <w:tcPr>
            <w:tcW w:w="4486" w:type="dxa"/>
          </w:tcPr>
          <w:p w14:paraId="41F06D19" w14:textId="19A9379F" w:rsidR="002A6624" w:rsidRDefault="002A6624" w:rsidP="0075388C">
            <w:pPr>
              <w:spacing w:after="0"/>
            </w:pPr>
            <w:r>
              <w:t xml:space="preserve">Country in which the organization submitting the proposal is incorporated </w:t>
            </w:r>
          </w:p>
        </w:tc>
        <w:tc>
          <w:tcPr>
            <w:tcW w:w="4370" w:type="dxa"/>
          </w:tcPr>
          <w:p w14:paraId="3F961D3E" w14:textId="77777777" w:rsidR="002A6624" w:rsidRDefault="002A6624" w:rsidP="0075388C">
            <w:pPr>
              <w:spacing w:after="0"/>
            </w:pPr>
          </w:p>
        </w:tc>
      </w:tr>
      <w:tr w:rsidR="0075388C" w14:paraId="458DA2AC" w14:textId="77777777" w:rsidTr="002A6624">
        <w:tc>
          <w:tcPr>
            <w:tcW w:w="4486" w:type="dxa"/>
          </w:tcPr>
          <w:p w14:paraId="66ADE6D6" w14:textId="3D1AE17F" w:rsidR="0075388C" w:rsidRDefault="0075388C" w:rsidP="0075388C">
            <w:pPr>
              <w:spacing w:after="0"/>
            </w:pPr>
            <w:r>
              <w:t>Names, titles</w:t>
            </w:r>
            <w:r w:rsidR="002A6624">
              <w:t xml:space="preserve">, and email addresses </w:t>
            </w:r>
            <w:r>
              <w:t>of company officers (like CEO, CFO, or similar)</w:t>
            </w:r>
          </w:p>
        </w:tc>
        <w:tc>
          <w:tcPr>
            <w:tcW w:w="4370" w:type="dxa"/>
          </w:tcPr>
          <w:p w14:paraId="387D9A1A" w14:textId="77777777" w:rsidR="0075388C" w:rsidRDefault="0075388C" w:rsidP="0075388C">
            <w:pPr>
              <w:spacing w:after="0"/>
            </w:pPr>
          </w:p>
        </w:tc>
      </w:tr>
    </w:tbl>
    <w:p w14:paraId="1DF28FB1" w14:textId="77777777" w:rsidR="0075388C" w:rsidRPr="005F2C22" w:rsidRDefault="0075388C" w:rsidP="0075388C">
      <w:pPr>
        <w:ind w:left="720"/>
      </w:pPr>
    </w:p>
    <w:p w14:paraId="6F96B709" w14:textId="01C27307" w:rsidR="00840ECF" w:rsidRDefault="00840ECF" w:rsidP="005F2C22">
      <w:pPr>
        <w:pStyle w:val="ListParagraph"/>
        <w:numPr>
          <w:ilvl w:val="0"/>
          <w:numId w:val="2"/>
        </w:numPr>
      </w:pPr>
      <w:r w:rsidRPr="00840ECF">
        <w:t xml:space="preserve">Description of the </w:t>
      </w:r>
      <w:r w:rsidR="00305D5D">
        <w:t xml:space="preserve">range </w:t>
      </w:r>
      <w:r w:rsidRPr="00840ECF">
        <w:t>of your services. Please note the extent to which they meet, do not meet, or exceed PRB’s requirements</w:t>
      </w:r>
      <w:r w:rsidR="00305D5D">
        <w:t xml:space="preserve"> including geographical scope.</w:t>
      </w:r>
    </w:p>
    <w:p w14:paraId="32D725D5" w14:textId="561F9BE7" w:rsidR="005F2C22" w:rsidRDefault="00840ECF" w:rsidP="005F2C22">
      <w:pPr>
        <w:pStyle w:val="ListParagraph"/>
        <w:numPr>
          <w:ilvl w:val="0"/>
          <w:numId w:val="2"/>
        </w:numPr>
      </w:pPr>
      <w:r w:rsidRPr="000248AD">
        <w:t xml:space="preserve">Description of </w:t>
      </w:r>
      <w:r w:rsidR="000248AD" w:rsidRPr="000248AD">
        <w:t xml:space="preserve">the experience of your organization providing similar services to organizations </w:t>
      </w:r>
      <w:r w:rsidR="00297A17" w:rsidRPr="000248AD">
        <w:t>like</w:t>
      </w:r>
      <w:r w:rsidR="000248AD" w:rsidRPr="000248AD">
        <w:t xml:space="preserve"> PRB.</w:t>
      </w:r>
    </w:p>
    <w:p w14:paraId="48A06C5E" w14:textId="1BD8A565" w:rsidR="000248AD" w:rsidRPr="000248AD" w:rsidRDefault="00F66C56" w:rsidP="005F2C22">
      <w:pPr>
        <w:pStyle w:val="ListParagraph"/>
        <w:numPr>
          <w:ilvl w:val="0"/>
          <w:numId w:val="2"/>
        </w:numPr>
      </w:pPr>
      <w:r>
        <w:t xml:space="preserve">Names and resumes/CVs key individuals who would support PRB in Kenya and/or Senegal. </w:t>
      </w:r>
    </w:p>
    <w:p w14:paraId="62A18DE4" w14:textId="6705C950" w:rsidR="00986218" w:rsidRPr="00986218" w:rsidRDefault="00986218" w:rsidP="005F2C22">
      <w:pPr>
        <w:pStyle w:val="ListParagraph"/>
        <w:numPr>
          <w:ilvl w:val="0"/>
          <w:numId w:val="2"/>
        </w:numPr>
      </w:pPr>
      <w:r w:rsidRPr="00986218">
        <w:t>Pricing schedule for EOR services according to your pricing structure</w:t>
      </w:r>
      <w:r w:rsidR="00243A5C">
        <w:t>, for example fixed rate per employee or a percentage of total payroll.</w:t>
      </w:r>
      <w:r w:rsidR="003B70CD">
        <w:t xml:space="preserve"> The schedule must include all costs including value-added tax, if applicable.</w:t>
      </w:r>
      <w:r w:rsidR="00840ECF">
        <w:t xml:space="preserve"> </w:t>
      </w:r>
    </w:p>
    <w:p w14:paraId="0456DE0D" w14:textId="66017D27" w:rsidR="00986218" w:rsidRDefault="00C01B09" w:rsidP="005F2C22">
      <w:pPr>
        <w:pStyle w:val="ListParagraph"/>
        <w:numPr>
          <w:ilvl w:val="0"/>
          <w:numId w:val="2"/>
        </w:numPr>
      </w:pPr>
      <w:r>
        <w:t xml:space="preserve">Schedule of hourly rates for </w:t>
      </w:r>
      <w:r w:rsidR="004701EA" w:rsidRPr="00BB14B0">
        <w:t>ad-hoc services</w:t>
      </w:r>
      <w:r w:rsidR="006D3E38" w:rsidRPr="00BB14B0">
        <w:t xml:space="preserve">. </w:t>
      </w:r>
    </w:p>
    <w:p w14:paraId="3C428D34" w14:textId="5F178A25" w:rsidR="00986218" w:rsidRDefault="00D8326C" w:rsidP="00986218">
      <w:pPr>
        <w:pStyle w:val="ListParagraph"/>
        <w:numPr>
          <w:ilvl w:val="1"/>
          <w:numId w:val="3"/>
        </w:numPr>
      </w:pPr>
      <w:r>
        <w:t>Rates must i</w:t>
      </w:r>
      <w:r w:rsidR="004520E5">
        <w:t xml:space="preserve">nclude all fees and taxes to be paid by PRB, including value-added </w:t>
      </w:r>
      <w:r w:rsidR="004520E5">
        <w:lastRenderedPageBreak/>
        <w:t xml:space="preserve">tax (if applicable). </w:t>
      </w:r>
    </w:p>
    <w:p w14:paraId="3436D0EB" w14:textId="77777777" w:rsidR="00CF39F5" w:rsidRDefault="00986218" w:rsidP="00CF39F5">
      <w:pPr>
        <w:pStyle w:val="ListParagraph"/>
        <w:numPr>
          <w:ilvl w:val="1"/>
          <w:numId w:val="3"/>
        </w:numPr>
      </w:pPr>
      <w:r>
        <w:t xml:space="preserve">Rates must be broken down by labor category, country, or </w:t>
      </w:r>
      <w:proofErr w:type="gramStart"/>
      <w:r>
        <w:t>other</w:t>
      </w:r>
      <w:proofErr w:type="gramEnd"/>
      <w:r>
        <w:t xml:space="preserve"> relevant category (if applicable).</w:t>
      </w:r>
    </w:p>
    <w:p w14:paraId="56E64A42" w14:textId="3367E7DD" w:rsidR="000D78E3" w:rsidRDefault="00986218" w:rsidP="00CF39F5">
      <w:pPr>
        <w:pStyle w:val="ListParagraph"/>
        <w:numPr>
          <w:ilvl w:val="1"/>
          <w:numId w:val="3"/>
        </w:numPr>
      </w:pPr>
      <w:r>
        <w:t xml:space="preserve">The schedule must note any </w:t>
      </w:r>
      <w:r w:rsidR="00D8326C">
        <w:t>conditions and limitations</w:t>
      </w:r>
      <w:r>
        <w:t xml:space="preserve">, </w:t>
      </w:r>
      <w:r w:rsidR="00D8326C">
        <w:t xml:space="preserve">for example </w:t>
      </w:r>
      <w:r>
        <w:t>if you require a minimum number of hours to be used in a month or a year.</w:t>
      </w:r>
    </w:p>
    <w:p w14:paraId="74289C20" w14:textId="66ADF80C" w:rsidR="002D6994" w:rsidRPr="00730A25" w:rsidRDefault="00A203B6" w:rsidP="00BF59D2">
      <w:pPr>
        <w:pStyle w:val="ListParagraph"/>
        <w:numPr>
          <w:ilvl w:val="0"/>
          <w:numId w:val="2"/>
        </w:numPr>
        <w:rPr>
          <w:b/>
          <w:bCs/>
        </w:rPr>
      </w:pPr>
      <w:r>
        <w:t>Three (3) r</w:t>
      </w:r>
      <w:r w:rsidR="004701EA">
        <w:t xml:space="preserve">eferences of international </w:t>
      </w:r>
      <w:r>
        <w:t>clients, including current contact information.</w:t>
      </w:r>
    </w:p>
    <w:sectPr w:rsidR="002D6994" w:rsidRPr="00730A25" w:rsidSect="003D4B3E">
      <w:headerReference w:type="default" r:id="rId10"/>
      <w:pgSz w:w="12240" w:h="15840"/>
      <w:pgMar w:top="1440" w:right="1440" w:bottom="1440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59F9" w14:textId="77777777" w:rsidR="00B36397" w:rsidRDefault="00B36397">
      <w:pPr>
        <w:spacing w:after="0"/>
      </w:pPr>
      <w:r>
        <w:separator/>
      </w:r>
    </w:p>
  </w:endnote>
  <w:endnote w:type="continuationSeparator" w:id="0">
    <w:p w14:paraId="6E83EE86" w14:textId="77777777" w:rsidR="00B36397" w:rsidRDefault="00B36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E3F5" w14:textId="77777777" w:rsidR="00B36397" w:rsidRDefault="00B36397">
      <w:pPr>
        <w:spacing w:after="0"/>
      </w:pPr>
      <w:r>
        <w:separator/>
      </w:r>
    </w:p>
  </w:footnote>
  <w:footnote w:type="continuationSeparator" w:id="0">
    <w:p w14:paraId="037E97F8" w14:textId="77777777" w:rsidR="00B36397" w:rsidRDefault="00B363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1C7F" w14:textId="5B5E1D82" w:rsidR="00685CB4" w:rsidRDefault="00685CB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F14FB"/>
    <w:multiLevelType w:val="hybridMultilevel"/>
    <w:tmpl w:val="99FE21FA"/>
    <w:lvl w:ilvl="0" w:tplc="4A3A2A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E6A37"/>
    <w:multiLevelType w:val="hybridMultilevel"/>
    <w:tmpl w:val="514C3C96"/>
    <w:lvl w:ilvl="0" w:tplc="A2EA5D7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spacing w:val="-3"/>
        <w:w w:val="100"/>
        <w:sz w:val="24"/>
        <w:szCs w:val="24"/>
        <w:lang w:val="en-US" w:eastAsia="en-US" w:bidi="en-US"/>
      </w:rPr>
    </w:lvl>
    <w:lvl w:ilvl="1" w:tplc="A086AF0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4F40BF44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3" w:tplc="27343B1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en-US"/>
      </w:rPr>
    </w:lvl>
    <w:lvl w:ilvl="4" w:tplc="6ACA417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5" w:tplc="B54CB69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DB9C843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2CE6D8F4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8" w:tplc="84B0FC3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49C0BEA"/>
    <w:multiLevelType w:val="hybridMultilevel"/>
    <w:tmpl w:val="674AF0BA"/>
    <w:lvl w:ilvl="0" w:tplc="99F4A3B0">
      <w:start w:val="1"/>
      <w:numFmt w:val="decimal"/>
      <w:lvlText w:val="%1."/>
      <w:lvlJc w:val="left"/>
      <w:pPr>
        <w:ind w:left="820" w:hanging="720"/>
      </w:pPr>
      <w:rPr>
        <w:rFonts w:hint="default"/>
        <w:b/>
        <w:bCs/>
        <w:spacing w:val="-3"/>
        <w:w w:val="100"/>
        <w:lang w:val="en-US" w:eastAsia="en-US" w:bidi="en-US"/>
      </w:rPr>
    </w:lvl>
    <w:lvl w:ilvl="1" w:tplc="29A6289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A0EE547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3" w:tplc="96CEFBE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en-US"/>
      </w:rPr>
    </w:lvl>
    <w:lvl w:ilvl="4" w:tplc="79DC7680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5" w:tplc="A61E7ED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1F02FD70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45C6354E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8" w:tplc="75FCB276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en-US"/>
      </w:rPr>
    </w:lvl>
  </w:abstractNum>
  <w:num w:numId="1" w16cid:durableId="148593539">
    <w:abstractNumId w:val="2"/>
  </w:num>
  <w:num w:numId="2" w16cid:durableId="849876015">
    <w:abstractNumId w:val="1"/>
  </w:num>
  <w:num w:numId="3" w16cid:durableId="14670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B4"/>
    <w:rsid w:val="00013588"/>
    <w:rsid w:val="000248AD"/>
    <w:rsid w:val="000336F6"/>
    <w:rsid w:val="000C0EBB"/>
    <w:rsid w:val="000D78E3"/>
    <w:rsid w:val="000E21F5"/>
    <w:rsid w:val="00133D55"/>
    <w:rsid w:val="00147544"/>
    <w:rsid w:val="00167DB0"/>
    <w:rsid w:val="00170341"/>
    <w:rsid w:val="0019339E"/>
    <w:rsid w:val="00196B30"/>
    <w:rsid w:val="00197351"/>
    <w:rsid w:val="001B27A3"/>
    <w:rsid w:val="001D245C"/>
    <w:rsid w:val="001F3D5C"/>
    <w:rsid w:val="00243A5C"/>
    <w:rsid w:val="002621B8"/>
    <w:rsid w:val="00265F82"/>
    <w:rsid w:val="00270C11"/>
    <w:rsid w:val="00297A17"/>
    <w:rsid w:val="002A6624"/>
    <w:rsid w:val="002D1267"/>
    <w:rsid w:val="002D48DF"/>
    <w:rsid w:val="002D6994"/>
    <w:rsid w:val="002E478D"/>
    <w:rsid w:val="002F196A"/>
    <w:rsid w:val="002F6FDA"/>
    <w:rsid w:val="00305D5D"/>
    <w:rsid w:val="00312190"/>
    <w:rsid w:val="00351803"/>
    <w:rsid w:val="003602B5"/>
    <w:rsid w:val="00362EC7"/>
    <w:rsid w:val="0036773C"/>
    <w:rsid w:val="00373846"/>
    <w:rsid w:val="003B70CD"/>
    <w:rsid w:val="003D4B3E"/>
    <w:rsid w:val="003D6DA3"/>
    <w:rsid w:val="00401F33"/>
    <w:rsid w:val="004434F0"/>
    <w:rsid w:val="004520E5"/>
    <w:rsid w:val="004655CB"/>
    <w:rsid w:val="004701EA"/>
    <w:rsid w:val="004754A6"/>
    <w:rsid w:val="00560225"/>
    <w:rsid w:val="005C4191"/>
    <w:rsid w:val="005D747F"/>
    <w:rsid w:val="005E5FA2"/>
    <w:rsid w:val="005F2C22"/>
    <w:rsid w:val="006177A8"/>
    <w:rsid w:val="00623753"/>
    <w:rsid w:val="00685CB4"/>
    <w:rsid w:val="00694972"/>
    <w:rsid w:val="006C7616"/>
    <w:rsid w:val="006D3E38"/>
    <w:rsid w:val="006D7729"/>
    <w:rsid w:val="006E00F9"/>
    <w:rsid w:val="006E48F2"/>
    <w:rsid w:val="006E656D"/>
    <w:rsid w:val="006E68A6"/>
    <w:rsid w:val="006F4F5A"/>
    <w:rsid w:val="0071184B"/>
    <w:rsid w:val="00730A25"/>
    <w:rsid w:val="00740846"/>
    <w:rsid w:val="0075388C"/>
    <w:rsid w:val="007D2AB9"/>
    <w:rsid w:val="008233A2"/>
    <w:rsid w:val="00840ECF"/>
    <w:rsid w:val="00844692"/>
    <w:rsid w:val="008A7EE0"/>
    <w:rsid w:val="008B0D40"/>
    <w:rsid w:val="008D0C2E"/>
    <w:rsid w:val="009460D7"/>
    <w:rsid w:val="00986218"/>
    <w:rsid w:val="00A203B6"/>
    <w:rsid w:val="00A435A7"/>
    <w:rsid w:val="00A45F4F"/>
    <w:rsid w:val="00A775D2"/>
    <w:rsid w:val="00A91EDC"/>
    <w:rsid w:val="00A94B97"/>
    <w:rsid w:val="00AA66F7"/>
    <w:rsid w:val="00AA729B"/>
    <w:rsid w:val="00B26FEA"/>
    <w:rsid w:val="00B348A7"/>
    <w:rsid w:val="00B36397"/>
    <w:rsid w:val="00B40FFF"/>
    <w:rsid w:val="00B50C2F"/>
    <w:rsid w:val="00B71E87"/>
    <w:rsid w:val="00B742BB"/>
    <w:rsid w:val="00B76390"/>
    <w:rsid w:val="00B77071"/>
    <w:rsid w:val="00B924B7"/>
    <w:rsid w:val="00BA171E"/>
    <w:rsid w:val="00BB14B0"/>
    <w:rsid w:val="00BC13D6"/>
    <w:rsid w:val="00BC1C5F"/>
    <w:rsid w:val="00BE1FAD"/>
    <w:rsid w:val="00BE7F56"/>
    <w:rsid w:val="00BF59D2"/>
    <w:rsid w:val="00C01B09"/>
    <w:rsid w:val="00C02E0A"/>
    <w:rsid w:val="00C15126"/>
    <w:rsid w:val="00C35948"/>
    <w:rsid w:val="00C41E13"/>
    <w:rsid w:val="00C52360"/>
    <w:rsid w:val="00CD110E"/>
    <w:rsid w:val="00CE49F4"/>
    <w:rsid w:val="00CF0B0D"/>
    <w:rsid w:val="00CF39F5"/>
    <w:rsid w:val="00D37C96"/>
    <w:rsid w:val="00D4162F"/>
    <w:rsid w:val="00D76641"/>
    <w:rsid w:val="00D8326C"/>
    <w:rsid w:val="00DA7640"/>
    <w:rsid w:val="00DC4E3E"/>
    <w:rsid w:val="00DD5441"/>
    <w:rsid w:val="00DF748A"/>
    <w:rsid w:val="00E41A49"/>
    <w:rsid w:val="00E61A3A"/>
    <w:rsid w:val="00E865D7"/>
    <w:rsid w:val="00EA42AA"/>
    <w:rsid w:val="00EA7B92"/>
    <w:rsid w:val="00EC4B2B"/>
    <w:rsid w:val="00F10A14"/>
    <w:rsid w:val="00F24EBB"/>
    <w:rsid w:val="00F3342C"/>
    <w:rsid w:val="00F66400"/>
    <w:rsid w:val="00F66C56"/>
    <w:rsid w:val="00F85722"/>
    <w:rsid w:val="00F9466E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1C5A"/>
  <w15:docId w15:val="{668A83E5-8ACE-4022-8220-14B12FCC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F2"/>
    <w:pPr>
      <w:spacing w:after="120"/>
    </w:pPr>
    <w:rPr>
      <w:rFonts w:ascii="Calibri" w:eastAsia="Calibri" w:hAnsi="Calibri" w:cs="Calibri"/>
      <w:sz w:val="24"/>
      <w:lang w:bidi="en-US"/>
    </w:rPr>
  </w:style>
  <w:style w:type="paragraph" w:styleId="Heading1">
    <w:name w:val="heading 1"/>
    <w:basedOn w:val="Normal"/>
    <w:uiPriority w:val="9"/>
    <w:qFormat/>
    <w:rsid w:val="00B71E87"/>
    <w:pPr>
      <w:ind w:right="345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BE1FAD"/>
    <w:pPr>
      <w:spacing w:before="24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E1FAD"/>
    <w:pPr>
      <w:outlineLvl w:val="2"/>
    </w:pPr>
    <w:rPr>
      <w:b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2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1F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2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1F5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6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56D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56D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6E4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3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E1FAD"/>
    <w:rPr>
      <w:rFonts w:ascii="Calibri" w:eastAsia="Calibri" w:hAnsi="Calibri" w:cs="Calibri"/>
      <w:bCs/>
      <w:sz w:val="28"/>
      <w:szCs w:val="24"/>
      <w:lang w:bidi="en-US"/>
    </w:rPr>
  </w:style>
  <w:style w:type="table" w:styleId="TableGrid">
    <w:name w:val="Table Grid"/>
    <w:basedOn w:val="TableNormal"/>
    <w:uiPriority w:val="39"/>
    <w:rsid w:val="0075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6390"/>
    <w:pPr>
      <w:widowControl/>
      <w:autoSpaceDE/>
      <w:autoSpaceDN/>
    </w:pPr>
    <w:rPr>
      <w:rFonts w:ascii="Calibri" w:eastAsia="Calibri" w:hAnsi="Calibri" w:cs="Calibri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dnet.com/bneattachments?/48940004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kariuki@pr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9892-74D8-4A07-BD38-76F7859C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Kevin Kariuki</cp:lastModifiedBy>
  <cp:revision>3</cp:revision>
  <dcterms:created xsi:type="dcterms:W3CDTF">2023-11-27T14:01:00Z</dcterms:created>
  <dcterms:modified xsi:type="dcterms:W3CDTF">2023-12-01T12:31:00Z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2023-10-06T00:00:00Z</vt:filetime>
  </property>
</Properties>
</file>