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1932" w14:textId="7B5CED8C" w:rsidR="00004E26" w:rsidRPr="00004E26" w:rsidRDefault="00004E26" w:rsidP="00B34E64">
      <w:r w:rsidRPr="00004E26">
        <w:rPr>
          <w:b/>
          <w:bCs/>
        </w:rPr>
        <w:t>Request for Proposals: Subcontract for Policy Integration and Forecast Scenarios</w:t>
      </w:r>
      <w:r>
        <w:rPr>
          <w:b/>
          <w:bCs/>
        </w:rPr>
        <w:br/>
      </w:r>
      <w:r w:rsidRPr="00004E26">
        <w:t>Population Reference Bureau</w:t>
      </w:r>
    </w:p>
    <w:p w14:paraId="4828E322" w14:textId="0C3DD686" w:rsidR="00004E26" w:rsidRPr="00004E26" w:rsidRDefault="00004E26" w:rsidP="00004E26">
      <w:pPr>
        <w:rPr>
          <w:b/>
          <w:bCs/>
        </w:rPr>
      </w:pPr>
      <w:r>
        <w:rPr>
          <w:b/>
          <w:bCs/>
        </w:rPr>
        <w:t xml:space="preserve">I. </w:t>
      </w:r>
      <w:r w:rsidRPr="00004E26">
        <w:rPr>
          <w:b/>
          <w:bCs/>
        </w:rPr>
        <w:t>Overview</w:t>
      </w:r>
    </w:p>
    <w:p w14:paraId="6D35D27D" w14:textId="54B55072" w:rsidR="00004E26" w:rsidRDefault="00004E26" w:rsidP="00B34E64">
      <w:r w:rsidRPr="00004E26">
        <w:t xml:space="preserve">Population Reference Bureau (PRB) is seeking proposals from qualified consultants to perform technical work under PRB's prime contract with the Southern California Association of Governments (SCAG). The work involves developing regional growth forecast scenarios, assessing population-housing projection linkages, and mapping forecast assumptions to regional planning policies. This work supports Connect SoCal 2028, SCAG's next Regional Transportation Plan/Sustainable Communities Strategy, and </w:t>
      </w:r>
      <w:r>
        <w:t>is</w:t>
      </w:r>
      <w:r w:rsidRPr="00004E26">
        <w:t xml:space="preserve"> also </w:t>
      </w:r>
      <w:r>
        <w:t xml:space="preserve">likely to </w:t>
      </w:r>
      <w:r w:rsidRPr="00004E26">
        <w:t>inform the 7th cycle Regional Housing Needs Allocation (RHNA) process.</w:t>
      </w:r>
    </w:p>
    <w:p w14:paraId="50E7F021" w14:textId="56D71C1E" w:rsidR="00004E26" w:rsidRDefault="00731001" w:rsidP="00B34E64">
      <w:r>
        <w:t xml:space="preserve">PRB plans to issue a fixed-price contract for this work. </w:t>
      </w:r>
      <w:r w:rsidR="00004E26" w:rsidRPr="00004E26">
        <w:t>The period of performance is July 1, 2026 through June 30, 2028.</w:t>
      </w:r>
    </w:p>
    <w:p w14:paraId="623B4415" w14:textId="531A2FF6" w:rsidR="00004E26" w:rsidRPr="00004E26" w:rsidRDefault="00004E26" w:rsidP="00B34E64">
      <w:pPr>
        <w:rPr>
          <w:b/>
          <w:bCs/>
        </w:rPr>
      </w:pPr>
      <w:r w:rsidRPr="00004E26">
        <w:rPr>
          <w:b/>
          <w:bCs/>
        </w:rPr>
        <w:t>II. Scope of Work</w:t>
      </w:r>
    </w:p>
    <w:p w14:paraId="4C3078E8" w14:textId="77777777" w:rsidR="00004E26" w:rsidRDefault="00004E26" w:rsidP="00B34E64">
      <w:r w:rsidRPr="00004E26">
        <w:t xml:space="preserve">SCAG is officially designated by federal and state statute as a Council of Governments, Multi-County Designated Transportation Planning Agency, and Metropolitan Planning Organization for Southern California. SCAG develops a coupled demographic-economic forecast to support a wide range of planning purposes. </w:t>
      </w:r>
    </w:p>
    <w:p w14:paraId="6B9BE5E0" w14:textId="7814ACA7" w:rsidR="00004E26" w:rsidRDefault="00004E26" w:rsidP="00B34E64">
      <w:r w:rsidRPr="00004E26">
        <w:t>The selected Consultant will sharpen SCAG's forecasting processes, fill gaps, and provide technical expertise, working closely alongside SCAG demographic and economic staff. SCAG conducts its own growth forecasting process and is responsible for its successful implementation within plans and programs.</w:t>
      </w:r>
    </w:p>
    <w:p w14:paraId="7B68C95D" w14:textId="032968C7" w:rsidR="00004E26" w:rsidRPr="00004E26" w:rsidRDefault="00004E26" w:rsidP="00B34E64">
      <w:pPr>
        <w:rPr>
          <w:u w:val="single"/>
        </w:rPr>
      </w:pPr>
      <w:r w:rsidRPr="00004E26">
        <w:rPr>
          <w:u w:val="single"/>
        </w:rPr>
        <w:t>A. Regional Growth Forecast Scenarios</w:t>
      </w:r>
    </w:p>
    <w:p w14:paraId="39EE5B02" w14:textId="1C102BCE" w:rsidR="00731001" w:rsidRDefault="00731001" w:rsidP="00B34E64">
      <w:r w:rsidRPr="00731001">
        <w:t>In past cycles, SCAG has used low, medium, and high regional employment forecasts to modify domestic migration assumptions in its cohort-component population forecasting model, generating a range of possible future outcomes. Improvements may be possible, such as stochastic approaches that probabilistically evaluate the impact of input data changes on future population, employment, and households; however, certain planning processes require a single point forecast.</w:t>
      </w:r>
    </w:p>
    <w:p w14:paraId="6FE741C1" w14:textId="01371A08" w:rsidR="00004E26" w:rsidRDefault="00004E26" w:rsidP="00B34E64">
      <w:r w:rsidRPr="00004E26">
        <w:t>Following an assessment of Connect SoCal 2024's forecasting practice, the Consultant will develop recommendations and a draft work plan for producing a range of forecasts for the region. In keeping with the tradition of a low, medium, and high scenario but by no means bound to its underlying methodology, the Consultant will develop at least three distinct growth scenarios at the county level and work with SCAG staff to integrate them into the agency's existing subcounty projection and impact analysis framework, including but not limited to SCAG's Scenario Planning Model (SPM) and its use of land development categories and place types.</w:t>
      </w:r>
    </w:p>
    <w:p w14:paraId="149CE00B" w14:textId="77777777" w:rsidR="00004E26" w:rsidRPr="00004E26" w:rsidRDefault="00004E26" w:rsidP="00004E26">
      <w:r w:rsidRPr="00004E26">
        <w:t>Deliverables:</w:t>
      </w:r>
    </w:p>
    <w:p w14:paraId="614BB007" w14:textId="44056067" w:rsidR="00004E26" w:rsidRPr="00004E26" w:rsidRDefault="00004E26" w:rsidP="00004E26">
      <w:pPr>
        <w:numPr>
          <w:ilvl w:val="0"/>
          <w:numId w:val="2"/>
        </w:numPr>
      </w:pPr>
      <w:r w:rsidRPr="00004E26">
        <w:t xml:space="preserve">Recommendations and a draft work plan for developing a range of regional growth forecasts </w:t>
      </w:r>
      <w:r>
        <w:t>(due 12/31/2026)</w:t>
      </w:r>
    </w:p>
    <w:p w14:paraId="2FACF8ED" w14:textId="3F2B4814" w:rsidR="00004E26" w:rsidRDefault="00004E26" w:rsidP="00004E26">
      <w:pPr>
        <w:numPr>
          <w:ilvl w:val="0"/>
          <w:numId w:val="2"/>
        </w:numPr>
      </w:pPr>
      <w:r w:rsidRPr="00004E26">
        <w:t>Memorandum and data to support a range of regional growth forecasts</w:t>
      </w:r>
      <w:r>
        <w:t xml:space="preserve"> (due 2/28/2027)</w:t>
      </w:r>
    </w:p>
    <w:p w14:paraId="24C2EC93" w14:textId="2D113124" w:rsidR="00004E26" w:rsidRPr="00004E26" w:rsidRDefault="00004E26" w:rsidP="00004E26">
      <w:pPr>
        <w:rPr>
          <w:u w:val="single"/>
        </w:rPr>
      </w:pPr>
      <w:r w:rsidRPr="00004E26">
        <w:rPr>
          <w:u w:val="single"/>
        </w:rPr>
        <w:lastRenderedPageBreak/>
        <w:t>B. Population and Housing Projection Linkages</w:t>
      </w:r>
    </w:p>
    <w:p w14:paraId="6BC107E2" w14:textId="77777777" w:rsidR="00004E26" w:rsidRPr="00004E26" w:rsidRDefault="00004E26" w:rsidP="00004E26">
      <w:r w:rsidRPr="00004E26">
        <w:t>The Consultant will complete an assessment of best practices in linking population and housing projections. This shall consist of a review of housing, household, and family dynamics and data trends and must be integrated into the scenarios described under A.</w:t>
      </w:r>
    </w:p>
    <w:p w14:paraId="675846C3" w14:textId="77777777" w:rsidR="00004E26" w:rsidRPr="00004E26" w:rsidRDefault="00004E26" w:rsidP="00004E26">
      <w:r w:rsidRPr="00004E26">
        <w:t>Deliverables:</w:t>
      </w:r>
    </w:p>
    <w:p w14:paraId="409F82C7" w14:textId="2A8CC50E" w:rsidR="00004E26" w:rsidRPr="00004E26" w:rsidRDefault="00004E26" w:rsidP="00004E26">
      <w:pPr>
        <w:numPr>
          <w:ilvl w:val="0"/>
          <w:numId w:val="3"/>
        </w:numPr>
      </w:pPr>
      <w:r w:rsidRPr="00004E26">
        <w:t>Memorandum on population and housing growth relationships (due</w:t>
      </w:r>
      <w:r>
        <w:t xml:space="preserve"> </w:t>
      </w:r>
      <w:r w:rsidRPr="00004E26">
        <w:t>9/30/</w:t>
      </w:r>
      <w:r>
        <w:t>20</w:t>
      </w:r>
      <w:r w:rsidRPr="00004E26">
        <w:t>26)</w:t>
      </w:r>
    </w:p>
    <w:p w14:paraId="3C4CF25B" w14:textId="77777777" w:rsidR="00004E26" w:rsidRPr="00004E26" w:rsidRDefault="00004E26" w:rsidP="00004E26">
      <w:pPr>
        <w:rPr>
          <w:u w:val="single"/>
        </w:rPr>
      </w:pPr>
      <w:r w:rsidRPr="00004E26">
        <w:rPr>
          <w:u w:val="single"/>
        </w:rPr>
        <w:t>C. Forecast-Policy Mapping and Sketch Planning Analysis</w:t>
      </w:r>
    </w:p>
    <w:p w14:paraId="6EFA6745" w14:textId="77777777" w:rsidR="00004E26" w:rsidRPr="00004E26" w:rsidRDefault="00004E26" w:rsidP="00004E26">
      <w:r w:rsidRPr="00004E26">
        <w:t>The Consultant will develop a mapping between major forecast inputs, the scenario-based assumptions associated with them, and a non-exhaustive subset of Connect SoCal 2024 Regional Planning Policies and Implementation Strategies. This must consist of a "What-If" sketch planning analysis to better associate aggregate growth trends with their policy and implementation effects.</w:t>
      </w:r>
    </w:p>
    <w:p w14:paraId="1758B695" w14:textId="77777777" w:rsidR="00004E26" w:rsidRPr="00004E26" w:rsidRDefault="00004E26" w:rsidP="00004E26">
      <w:r w:rsidRPr="00004E26">
        <w:t>Deliverables:</w:t>
      </w:r>
    </w:p>
    <w:p w14:paraId="416136FD" w14:textId="558D2206" w:rsidR="00004E26" w:rsidRDefault="00004E26" w:rsidP="00004E26">
      <w:pPr>
        <w:numPr>
          <w:ilvl w:val="0"/>
          <w:numId w:val="4"/>
        </w:numPr>
      </w:pPr>
      <w:r w:rsidRPr="00004E26">
        <w:t xml:space="preserve">Memorandum linking forecast inputs and assumptions with select policies and strategies from Connect SoCal 2024 (due </w:t>
      </w:r>
      <w:r w:rsidR="005B7406">
        <w:t>5</w:t>
      </w:r>
      <w:r w:rsidRPr="00004E26">
        <w:t>/3</w:t>
      </w:r>
      <w:r w:rsidR="005B7406">
        <w:t>1</w:t>
      </w:r>
      <w:r w:rsidRPr="00004E26">
        <w:t>/</w:t>
      </w:r>
      <w:r>
        <w:t>20</w:t>
      </w:r>
      <w:r w:rsidRPr="00004E26">
        <w:t>28)</w:t>
      </w:r>
    </w:p>
    <w:p w14:paraId="3072931F" w14:textId="77777777" w:rsidR="00004E26" w:rsidRDefault="00004E26" w:rsidP="00004E26">
      <w:pPr>
        <w:rPr>
          <w:u w:val="single"/>
        </w:rPr>
      </w:pPr>
      <w:r w:rsidRPr="00004E26">
        <w:rPr>
          <w:u w:val="single"/>
        </w:rPr>
        <w:t>D. Advisory Services</w:t>
      </w:r>
    </w:p>
    <w:p w14:paraId="4C0BDFD1" w14:textId="640D9AFB" w:rsidR="00004E26" w:rsidRPr="00004E26" w:rsidRDefault="00004E26" w:rsidP="00004E26">
      <w:r w:rsidRPr="00004E26">
        <w:t xml:space="preserve">The deliverable-specific tasks described in A through C include reasonable technical consultation with PRB and SCAG staff in support of those tasks, such as responding to questions by email, participating in virtual meetings, and reviewing related materials from SCAG. Advisory effort should be reflected in the Consultant's pricing for each task area </w:t>
      </w:r>
      <w:r w:rsidR="00E4319D">
        <w:t xml:space="preserve">(A-C) </w:t>
      </w:r>
      <w:r w:rsidRPr="00004E26">
        <w:t xml:space="preserve">and is not separately compensated. </w:t>
      </w:r>
    </w:p>
    <w:p w14:paraId="2DD8F529" w14:textId="02B45427" w:rsidR="00004E26" w:rsidRPr="00004E26" w:rsidRDefault="005B7406" w:rsidP="00B34E64">
      <w:pPr>
        <w:rPr>
          <w:u w:val="single"/>
        </w:rPr>
      </w:pPr>
      <w:r>
        <w:rPr>
          <w:u w:val="single"/>
        </w:rPr>
        <w:t>E</w:t>
      </w:r>
      <w:r w:rsidR="00004E26" w:rsidRPr="00004E26">
        <w:rPr>
          <w:u w:val="single"/>
        </w:rPr>
        <w:t>. Deliverable Review and Revision</w:t>
      </w:r>
    </w:p>
    <w:p w14:paraId="4B0526D4" w14:textId="225F1992" w:rsidR="00E4319D" w:rsidRDefault="00004E26" w:rsidP="00B34E64">
      <w:r w:rsidRPr="00004E26">
        <w:t>Up to two rounds of revision based on SCAG comments are included within scope for each deliverable.</w:t>
      </w:r>
      <w:r w:rsidR="00A91841">
        <w:t xml:space="preserve"> </w:t>
      </w:r>
      <w:r w:rsidR="00A91841" w:rsidRPr="003D15D7">
        <w:t>The Consultant shall not submit deliverables directly to SCAG without prior written approval from PRB</w:t>
      </w:r>
      <w:r w:rsidR="005B7406">
        <w:t>.</w:t>
      </w:r>
      <w:r w:rsidR="00E4319D">
        <w:t xml:space="preserve"> Review </w:t>
      </w:r>
      <w:r w:rsidR="00E4319D">
        <w:t xml:space="preserve">effort should be reflected in the Consultant’s </w:t>
      </w:r>
      <w:r w:rsidR="00E4319D" w:rsidRPr="00004E26">
        <w:t xml:space="preserve">pricing for each task area </w:t>
      </w:r>
      <w:r w:rsidR="00E4319D">
        <w:t xml:space="preserve">(A-C) </w:t>
      </w:r>
      <w:r w:rsidR="00E4319D" w:rsidRPr="00004E26">
        <w:t>and is not separately compensated.</w:t>
      </w:r>
    </w:p>
    <w:p w14:paraId="011C444E" w14:textId="57F9707C" w:rsidR="00004E26" w:rsidRDefault="00004E26" w:rsidP="00B34E64">
      <w:pPr>
        <w:rPr>
          <w:b/>
          <w:bCs/>
        </w:rPr>
      </w:pPr>
      <w:r w:rsidRPr="00004E26">
        <w:rPr>
          <w:b/>
          <w:bCs/>
        </w:rPr>
        <w:t>III. Proposal Format</w:t>
      </w:r>
    </w:p>
    <w:p w14:paraId="5D6712BC" w14:textId="77777777" w:rsidR="00004E26" w:rsidRDefault="00004E26" w:rsidP="00004E26">
      <w:r w:rsidRPr="00004E26">
        <w:t>Proposals must include the following elements:</w:t>
      </w:r>
    </w:p>
    <w:p w14:paraId="56468B90" w14:textId="77777777" w:rsidR="00004E26" w:rsidRPr="00004E26" w:rsidRDefault="00004E26" w:rsidP="00004E26">
      <w:pPr>
        <w:rPr>
          <w:u w:val="single"/>
        </w:rPr>
      </w:pPr>
      <w:r w:rsidRPr="00004E26">
        <w:rPr>
          <w:u w:val="single"/>
        </w:rPr>
        <w:t>A. Technical Approach</w:t>
      </w:r>
    </w:p>
    <w:p w14:paraId="6B650846" w14:textId="56A53102" w:rsidR="00004E26" w:rsidRPr="00004E26" w:rsidRDefault="00004E26" w:rsidP="00004E26">
      <w:r w:rsidRPr="00004E26">
        <w:t xml:space="preserve">A brief narrative describing the Consultant's proposed approach to completing the scope of work described in Section II. This should demonstrate understanding of the work and any relevant methodological considerations, but </w:t>
      </w:r>
      <w:r w:rsidR="00731001">
        <w:t xml:space="preserve">should </w:t>
      </w:r>
      <w:r w:rsidRPr="00004E26">
        <w:t>not be exhaustive</w:t>
      </w:r>
      <w:r w:rsidR="00731001">
        <w:t xml:space="preserve"> or re-state the SOW</w:t>
      </w:r>
      <w:r w:rsidRPr="00004E26">
        <w:t>.</w:t>
      </w:r>
      <w:r>
        <w:t xml:space="preserve"> </w:t>
      </w:r>
      <w:r w:rsidR="00731001">
        <w:t>Up to 1 page.</w:t>
      </w:r>
    </w:p>
    <w:p w14:paraId="1DFB5407" w14:textId="77777777" w:rsidR="00004E26" w:rsidRPr="00004E26" w:rsidRDefault="00004E26" w:rsidP="00004E26">
      <w:pPr>
        <w:rPr>
          <w:u w:val="single"/>
        </w:rPr>
      </w:pPr>
      <w:r w:rsidRPr="00004E26">
        <w:rPr>
          <w:u w:val="single"/>
        </w:rPr>
        <w:t>B. Key Personnel</w:t>
      </w:r>
    </w:p>
    <w:p w14:paraId="4DD347EA" w14:textId="77777777" w:rsidR="00004E26" w:rsidRPr="00004E26" w:rsidRDefault="00004E26" w:rsidP="00004E26">
      <w:r w:rsidRPr="00004E26">
        <w:t>Resumes of all key staff who will perform work under this subcontract. For each individual, indicate the role they will play and their anticipated level of effort. Resumes should clearly reflect relevant qualifications, including experience with demographic and economic forecasting, scenario development, housing projections, and regional planning.</w:t>
      </w:r>
    </w:p>
    <w:p w14:paraId="3D7ABEC4" w14:textId="77777777" w:rsidR="00004E26" w:rsidRPr="00004E26" w:rsidRDefault="00004E26" w:rsidP="00004E26">
      <w:pPr>
        <w:rPr>
          <w:u w:val="single"/>
        </w:rPr>
      </w:pPr>
      <w:r w:rsidRPr="00004E26">
        <w:rPr>
          <w:u w:val="single"/>
        </w:rPr>
        <w:lastRenderedPageBreak/>
        <w:t>C. Relevant Experience</w:t>
      </w:r>
    </w:p>
    <w:p w14:paraId="28F5281E" w14:textId="308FF56C" w:rsidR="00004E26" w:rsidRPr="00004E26" w:rsidRDefault="00004E26" w:rsidP="00004E26">
      <w:r w:rsidRPr="00004E26">
        <w:t xml:space="preserve">A description of at least three recent engagements in which the Consultant or proposed key staff performed work substantially similar in nature to the scope described herein. For each engagement, provide the client name, a brief description of the work performed, </w:t>
      </w:r>
      <w:r w:rsidR="00731001">
        <w:t xml:space="preserve">and </w:t>
      </w:r>
      <w:r w:rsidRPr="00004E26">
        <w:t>the period of performance</w:t>
      </w:r>
      <w:r w:rsidR="00731001">
        <w:t>.</w:t>
      </w:r>
    </w:p>
    <w:p w14:paraId="6010C23D" w14:textId="77777777" w:rsidR="00004E26" w:rsidRPr="00004E26" w:rsidRDefault="00004E26" w:rsidP="00004E26">
      <w:pPr>
        <w:rPr>
          <w:u w:val="single"/>
        </w:rPr>
      </w:pPr>
      <w:r w:rsidRPr="00004E26">
        <w:rPr>
          <w:u w:val="single"/>
        </w:rPr>
        <w:t>D. References</w:t>
      </w:r>
    </w:p>
    <w:p w14:paraId="7DF898F7" w14:textId="77777777" w:rsidR="00004E26" w:rsidRPr="00004E26" w:rsidRDefault="00004E26" w:rsidP="00004E26">
      <w:r w:rsidRPr="00004E26">
        <w:t>Provide at least three professional references from clients for whom the Consultant has performed similar work. Include the reference's name, title, organization, phone number, and email address. PRB reserves the right to contact references during the evaluation process.</w:t>
      </w:r>
    </w:p>
    <w:p w14:paraId="451130C5" w14:textId="77777777" w:rsidR="00004E26" w:rsidRPr="00004E26" w:rsidRDefault="00004E26" w:rsidP="00004E26">
      <w:pPr>
        <w:rPr>
          <w:u w:val="single"/>
        </w:rPr>
      </w:pPr>
      <w:r w:rsidRPr="00004E26">
        <w:rPr>
          <w:u w:val="single"/>
        </w:rPr>
        <w:t>E. Cost Proposal</w:t>
      </w:r>
    </w:p>
    <w:p w14:paraId="3F88C4EA" w14:textId="7C2A2FE9" w:rsidR="00004E26" w:rsidRPr="00004E26" w:rsidRDefault="00004E26" w:rsidP="00004E26">
      <w:r w:rsidRPr="00004E26">
        <w:t xml:space="preserve">A cost proposal reflecting the total proposed </w:t>
      </w:r>
      <w:r w:rsidR="00731001">
        <w:t xml:space="preserve">fixed </w:t>
      </w:r>
      <w:r w:rsidRPr="00004E26">
        <w:t xml:space="preserve">price for the scope of work, broken out by deliverable. </w:t>
      </w:r>
      <w:r w:rsidR="003D15D7" w:rsidRPr="003D15D7">
        <w:t>The proposal should identify labor categories, estimated hours, and rates for all key personnel.</w:t>
      </w:r>
    </w:p>
    <w:p w14:paraId="6B5F91A9" w14:textId="1CE09A79" w:rsidR="00004E26" w:rsidRPr="003D15D7" w:rsidRDefault="003D15D7" w:rsidP="00B34E64">
      <w:pPr>
        <w:rPr>
          <w:b/>
          <w:bCs/>
        </w:rPr>
      </w:pPr>
      <w:r w:rsidRPr="003D15D7">
        <w:rPr>
          <w:b/>
          <w:bCs/>
        </w:rPr>
        <w:t>IV. Evaluation Criteria</w:t>
      </w:r>
    </w:p>
    <w:p w14:paraId="6E165231" w14:textId="16616F68" w:rsidR="003D15D7" w:rsidRDefault="003D15D7" w:rsidP="003D15D7">
      <w:r w:rsidRPr="003D15D7">
        <w:t xml:space="preserve">PRB will evaluate proposals based on </w:t>
      </w:r>
      <w:r w:rsidR="00513C82" w:rsidRPr="003D15D7">
        <w:t xml:space="preserve">technical approach, </w:t>
      </w:r>
      <w:r w:rsidRPr="003D15D7">
        <w:t>relevant experience, qualifications of key personnel, and cost</w:t>
      </w:r>
      <w:r>
        <w:t>.</w:t>
      </w:r>
    </w:p>
    <w:p w14:paraId="39109AE0" w14:textId="0973F69A" w:rsidR="003D15D7" w:rsidRPr="003D15D7" w:rsidRDefault="003D15D7" w:rsidP="003D15D7">
      <w:pPr>
        <w:rPr>
          <w:b/>
          <w:bCs/>
        </w:rPr>
      </w:pPr>
      <w:r w:rsidRPr="003D15D7">
        <w:rPr>
          <w:b/>
          <w:bCs/>
        </w:rPr>
        <w:t xml:space="preserve">V. </w:t>
      </w:r>
      <w:r>
        <w:rPr>
          <w:b/>
          <w:bCs/>
        </w:rPr>
        <w:t xml:space="preserve">Due Date &amp; </w:t>
      </w:r>
      <w:r w:rsidRPr="003D15D7">
        <w:rPr>
          <w:b/>
          <w:bCs/>
        </w:rPr>
        <w:t>Submission</w:t>
      </w:r>
    </w:p>
    <w:p w14:paraId="369CA56A" w14:textId="7FAD48FA" w:rsidR="00F008F4" w:rsidRDefault="00F008F4" w:rsidP="003D15D7">
      <w:r w:rsidRPr="00F008F4">
        <w:t xml:space="preserve">Proposals are </w:t>
      </w:r>
      <w:r w:rsidRPr="00F008F4">
        <w:rPr>
          <w:b/>
          <w:bCs/>
        </w:rPr>
        <w:t xml:space="preserve">due by </w:t>
      </w:r>
      <w:r w:rsidR="0070006A">
        <w:rPr>
          <w:b/>
          <w:bCs/>
        </w:rPr>
        <w:t>5:00pm ET on April</w:t>
      </w:r>
      <w:r w:rsidRPr="00F008F4">
        <w:rPr>
          <w:b/>
          <w:bCs/>
        </w:rPr>
        <w:t xml:space="preserve"> </w:t>
      </w:r>
      <w:r w:rsidR="0070006A">
        <w:rPr>
          <w:b/>
          <w:bCs/>
        </w:rPr>
        <w:t>3</w:t>
      </w:r>
      <w:r w:rsidRPr="00F008F4">
        <w:rPr>
          <w:b/>
          <w:bCs/>
        </w:rPr>
        <w:t>, 2026</w:t>
      </w:r>
      <w:r w:rsidR="0070006A">
        <w:t xml:space="preserve"> via email to Diana Elliott (SVP, Programs) and Immanuel Wolff (VP, Finance) at </w:t>
      </w:r>
      <w:hyperlink r:id="rId7" w:history="1">
        <w:r w:rsidR="0070006A" w:rsidRPr="004960E2">
          <w:rPr>
            <w:rStyle w:val="Hyperlink"/>
          </w:rPr>
          <w:t>delliott@prb.org</w:t>
        </w:r>
      </w:hyperlink>
      <w:r w:rsidR="0070006A">
        <w:t xml:space="preserve"> and </w:t>
      </w:r>
      <w:hyperlink r:id="rId8" w:history="1">
        <w:r w:rsidR="0070006A" w:rsidRPr="004960E2">
          <w:rPr>
            <w:rStyle w:val="Hyperlink"/>
          </w:rPr>
          <w:t>iwolff@prb.org</w:t>
        </w:r>
      </w:hyperlink>
      <w:r w:rsidR="0070006A">
        <w:t>.</w:t>
      </w:r>
    </w:p>
    <w:p w14:paraId="276D5C69" w14:textId="5C9C400A" w:rsidR="00F008F4" w:rsidRDefault="0070006A" w:rsidP="003D15D7">
      <w:r>
        <w:t>We encourage you to submit questions well before the due date to ensure there is sufficient time to respond. We cannot guarantee a timely response to questions received after March 27, 2026.</w:t>
      </w:r>
    </w:p>
    <w:p w14:paraId="68B1C47B" w14:textId="4396773E" w:rsidR="005B7406" w:rsidRDefault="005B7406" w:rsidP="003D15D7">
      <w:pPr>
        <w:rPr>
          <w:b/>
          <w:bCs/>
        </w:rPr>
      </w:pPr>
      <w:r>
        <w:rPr>
          <w:b/>
          <w:bCs/>
        </w:rPr>
        <w:t>VI. Subcontract Terms</w:t>
      </w:r>
    </w:p>
    <w:p w14:paraId="26D1429B" w14:textId="77777777" w:rsidR="005B7406" w:rsidRPr="005B7406" w:rsidRDefault="005B7406" w:rsidP="005B7406">
      <w:r w:rsidRPr="005B7406">
        <w:t>The selected Consultant will enter into a fixed-price subcontract with PRB. The subcontract will incorporate the following provisions from PRB's prime contract with SCAG (Contract No. 26-002-C01), to the extent applicable to Subconsultant's performance:</w:t>
      </w:r>
    </w:p>
    <w:p w14:paraId="3FC66A64" w14:textId="77777777" w:rsidR="00513C82" w:rsidRDefault="005B7406" w:rsidP="005B7406">
      <w:pPr>
        <w:numPr>
          <w:ilvl w:val="0"/>
          <w:numId w:val="5"/>
        </w:numPr>
      </w:pPr>
      <w:r w:rsidRPr="005B7406">
        <w:rPr>
          <w:b/>
          <w:bCs/>
        </w:rPr>
        <w:t>Payment.</w:t>
      </w:r>
      <w:r w:rsidRPr="005B7406">
        <w:t xml:space="preserve"> Payment will be made monthly based on </w:t>
      </w:r>
      <w:r w:rsidRPr="00513C82">
        <w:rPr>
          <w:i/>
          <w:iCs/>
        </w:rPr>
        <w:t>estimated progress completion</w:t>
      </w:r>
      <w:r w:rsidRPr="005B7406">
        <w:t xml:space="preserve"> for each deliverable, as determined and approved by the PRB Agreement Manager in </w:t>
      </w:r>
      <w:r w:rsidR="00513C82">
        <w:t xml:space="preserve">their </w:t>
      </w:r>
      <w:r w:rsidRPr="005B7406">
        <w:t xml:space="preserve">reasonable discretion. </w:t>
      </w:r>
    </w:p>
    <w:p w14:paraId="5A82F9B6" w14:textId="2D4E5034" w:rsidR="005B7406" w:rsidRPr="005B7406" w:rsidRDefault="00513C82" w:rsidP="005B7406">
      <w:pPr>
        <w:numPr>
          <w:ilvl w:val="0"/>
          <w:numId w:val="5"/>
        </w:numPr>
      </w:pPr>
      <w:r>
        <w:rPr>
          <w:b/>
          <w:bCs/>
        </w:rPr>
        <w:t>Invoices.</w:t>
      </w:r>
      <w:r>
        <w:t xml:space="preserve"> </w:t>
      </w:r>
      <w:r w:rsidR="00332EA2">
        <w:t>Invoices are due by the 15</w:t>
      </w:r>
      <w:r w:rsidR="00332EA2" w:rsidRPr="00332EA2">
        <w:rPr>
          <w:vertAlign w:val="superscript"/>
        </w:rPr>
        <w:t>th</w:t>
      </w:r>
      <w:r w:rsidR="00332EA2">
        <w:t xml:space="preserve"> of the following month. Invoices </w:t>
      </w:r>
      <w:r w:rsidR="005B7406" w:rsidRPr="005B7406">
        <w:t xml:space="preserve">must include a narrative description of work completed during the invoice period and the estimated percentage of completion for each </w:t>
      </w:r>
      <w:r w:rsidR="00332EA2">
        <w:t>sub-</w:t>
      </w:r>
      <w:r w:rsidR="005B7406" w:rsidRPr="005B7406">
        <w:t xml:space="preserve">task. Invoices for services rendered through June 30 of each fiscal year must be submitted by July </w:t>
      </w:r>
      <w:r w:rsidR="00332EA2">
        <w:t>10</w:t>
      </w:r>
      <w:r w:rsidR="005B7406" w:rsidRPr="005B7406">
        <w:t>. Monthly invoicing serves as the primary mechanism for progress reporting; no separate status reports are required.</w:t>
      </w:r>
    </w:p>
    <w:p w14:paraId="44F50ADA" w14:textId="0F5211D6" w:rsidR="005B7406" w:rsidRPr="005B7406" w:rsidRDefault="005B7406" w:rsidP="005B7406">
      <w:pPr>
        <w:numPr>
          <w:ilvl w:val="0"/>
          <w:numId w:val="5"/>
        </w:numPr>
      </w:pPr>
      <w:r w:rsidRPr="005B7406">
        <w:rPr>
          <w:b/>
          <w:bCs/>
        </w:rPr>
        <w:t>Funding contingency.</w:t>
      </w:r>
      <w:r w:rsidRPr="005B7406">
        <w:t xml:space="preserve"> SCAG's obligations under the prime contract are subject to the availability of federal funds and enactment of the California State Budget Act. This is a multi-fiscal year contract in which unexpended funds do not automatically carry over.</w:t>
      </w:r>
    </w:p>
    <w:p w14:paraId="0238696D" w14:textId="77777777" w:rsidR="005B7406" w:rsidRPr="005B7406" w:rsidRDefault="005B7406" w:rsidP="005B7406">
      <w:pPr>
        <w:numPr>
          <w:ilvl w:val="0"/>
          <w:numId w:val="5"/>
        </w:numPr>
      </w:pPr>
      <w:r w:rsidRPr="005B7406">
        <w:rPr>
          <w:b/>
          <w:bCs/>
        </w:rPr>
        <w:lastRenderedPageBreak/>
        <w:t>Records retention and audit.</w:t>
      </w:r>
      <w:r w:rsidRPr="005B7406">
        <w:t xml:space="preserve"> The Consultant must maintain all source documents, books, and records related to its performance for a minimum of three years from final payment (or five years in the case of audit or litigation). SCAG, Caltrans, and other authorized state and federal agencies retain the right to examine such records.</w:t>
      </w:r>
    </w:p>
    <w:p w14:paraId="4931217C" w14:textId="18221E41" w:rsidR="005B7406" w:rsidRPr="005B7406" w:rsidRDefault="005B7406" w:rsidP="005B7406">
      <w:pPr>
        <w:numPr>
          <w:ilvl w:val="0"/>
          <w:numId w:val="5"/>
        </w:numPr>
      </w:pPr>
      <w:r w:rsidRPr="005B7406">
        <w:rPr>
          <w:b/>
          <w:bCs/>
        </w:rPr>
        <w:t>Conflict of interest.</w:t>
      </w:r>
      <w:r w:rsidRPr="005B7406">
        <w:t xml:space="preserve"> The Consultant must comply with SCAG's Conflict of Interest Policy and may not accept employment from any other party where a conflict of interest exists or is likely to arise during the term of the subcontract.</w:t>
      </w:r>
      <w:r w:rsidR="00513C82" w:rsidRPr="00513C82">
        <w:t xml:space="preserve"> </w:t>
      </w:r>
      <w:r w:rsidR="00513C82">
        <w:t>Consultant must be prepared to sign the</w:t>
      </w:r>
      <w:r w:rsidR="00513C82">
        <w:t xml:space="preserve"> </w:t>
      </w:r>
      <w:hyperlink r:id="rId9" w:history="1">
        <w:r w:rsidR="00513C82" w:rsidRPr="00513C82">
          <w:rPr>
            <w:rStyle w:val="Hyperlink"/>
          </w:rPr>
          <w:t>SCAG Conflict of Interest Form</w:t>
        </w:r>
      </w:hyperlink>
      <w:r w:rsidR="00513C82">
        <w:t>.</w:t>
      </w:r>
    </w:p>
    <w:p w14:paraId="7CDE764D" w14:textId="77777777" w:rsidR="005B7406" w:rsidRPr="005B7406" w:rsidRDefault="005B7406" w:rsidP="005B7406">
      <w:pPr>
        <w:numPr>
          <w:ilvl w:val="0"/>
          <w:numId w:val="5"/>
        </w:numPr>
      </w:pPr>
      <w:r w:rsidRPr="005B7406">
        <w:rPr>
          <w:b/>
          <w:bCs/>
        </w:rPr>
        <w:t>Release of information.</w:t>
      </w:r>
      <w:r w:rsidRPr="005B7406">
        <w:t xml:space="preserve"> The Consultant may not release any information obtained or produced under this subcontract to a third party, or otherwise publish or utilize such information, without prior written authorization.</w:t>
      </w:r>
    </w:p>
    <w:p w14:paraId="6728D034" w14:textId="77777777" w:rsidR="005B7406" w:rsidRDefault="005B7406" w:rsidP="005B7406">
      <w:pPr>
        <w:numPr>
          <w:ilvl w:val="0"/>
          <w:numId w:val="5"/>
        </w:numPr>
      </w:pPr>
      <w:r w:rsidRPr="005B7406">
        <w:rPr>
          <w:b/>
          <w:bCs/>
        </w:rPr>
        <w:t>Federal cost principles.</w:t>
      </w:r>
      <w:r w:rsidRPr="005B7406">
        <w:t xml:space="preserve"> Costs must be reasonable, allocable, and allowable under 2 CFR Part 200 and 48 CFR Part 31, as applicable. Costs determined to be unallowable upon audit must be repaid within 30 days of notice.</w:t>
      </w:r>
    </w:p>
    <w:p w14:paraId="1E718661" w14:textId="30DC1427" w:rsidR="005B7406" w:rsidRDefault="005B7406" w:rsidP="005B7406">
      <w:pPr>
        <w:numPr>
          <w:ilvl w:val="0"/>
          <w:numId w:val="5"/>
        </w:numPr>
      </w:pPr>
      <w:r w:rsidRPr="005B7406">
        <w:rPr>
          <w:b/>
          <w:bCs/>
        </w:rPr>
        <w:t>Disputes.</w:t>
      </w:r>
      <w:r w:rsidRPr="005B7406">
        <w:t xml:space="preserve"> Disputes arising under the subcontract that cannot be resolved by mutual agreement will be subject to binding arbitration under the rules of the American Arbitration Association. The Consultant must continue performance during the pendency of any dispute.</w:t>
      </w:r>
    </w:p>
    <w:p w14:paraId="7B9A8B24" w14:textId="02CFC0B1" w:rsidR="00513C82" w:rsidRPr="005B7406" w:rsidRDefault="00513C82" w:rsidP="005B7406">
      <w:pPr>
        <w:numPr>
          <w:ilvl w:val="0"/>
          <w:numId w:val="5"/>
        </w:numPr>
      </w:pPr>
      <w:r>
        <w:rPr>
          <w:b/>
          <w:bCs/>
        </w:rPr>
        <w:t>Debarment certification.</w:t>
      </w:r>
      <w:r>
        <w:t xml:space="preserve"> Consultant must be prepared to sign the </w:t>
      </w:r>
      <w:hyperlink r:id="rId10" w:history="1">
        <w:r w:rsidRPr="00513C82">
          <w:rPr>
            <w:rStyle w:val="Hyperlink"/>
          </w:rPr>
          <w:t>SCAG Debarment Certification</w:t>
        </w:r>
      </w:hyperlink>
      <w:r>
        <w:t>.</w:t>
      </w:r>
    </w:p>
    <w:p w14:paraId="61E60A2D" w14:textId="75CA3074" w:rsidR="00F008F4" w:rsidRPr="00F008F4" w:rsidRDefault="00F008F4" w:rsidP="003D15D7">
      <w:pPr>
        <w:rPr>
          <w:b/>
          <w:bCs/>
        </w:rPr>
      </w:pPr>
      <w:r w:rsidRPr="00F008F4">
        <w:rPr>
          <w:b/>
          <w:bCs/>
        </w:rPr>
        <w:t>V</w:t>
      </w:r>
      <w:r w:rsidR="005B7406">
        <w:rPr>
          <w:b/>
          <w:bCs/>
        </w:rPr>
        <w:t>I</w:t>
      </w:r>
      <w:r w:rsidRPr="00F008F4">
        <w:rPr>
          <w:b/>
          <w:bCs/>
        </w:rPr>
        <w:t>I. Eligibility</w:t>
      </w:r>
    </w:p>
    <w:p w14:paraId="5272BFAA" w14:textId="00020C8A" w:rsidR="00F008F4" w:rsidRPr="00F008F4" w:rsidRDefault="00F008F4" w:rsidP="003D15D7">
      <w:r w:rsidRPr="00F008F4">
        <w:t>This solicitation is limited to individuals and firms based in the United States. Offerors must maintain a principal place of business within the United States and all key personnel must be authorized to work in the United States.</w:t>
      </w:r>
    </w:p>
    <w:sectPr w:rsidR="00F008F4" w:rsidRPr="00F008F4" w:rsidSect="006A7F7B">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CF03" w14:textId="77777777" w:rsidR="00F65B5D" w:rsidRDefault="00F65B5D" w:rsidP="006A7F7B">
      <w:pPr>
        <w:spacing w:after="0" w:line="240" w:lineRule="auto"/>
      </w:pPr>
      <w:r>
        <w:separator/>
      </w:r>
    </w:p>
  </w:endnote>
  <w:endnote w:type="continuationSeparator" w:id="0">
    <w:p w14:paraId="4E3DB6EE" w14:textId="77777777" w:rsidR="00F65B5D" w:rsidRDefault="00F65B5D" w:rsidP="006A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5DA7" w14:textId="77777777" w:rsidR="00F65B5D" w:rsidRDefault="00F65B5D" w:rsidP="006A7F7B">
      <w:pPr>
        <w:spacing w:after="0" w:line="240" w:lineRule="auto"/>
      </w:pPr>
      <w:r>
        <w:separator/>
      </w:r>
    </w:p>
  </w:footnote>
  <w:footnote w:type="continuationSeparator" w:id="0">
    <w:p w14:paraId="682F6539" w14:textId="77777777" w:rsidR="00F65B5D" w:rsidRDefault="00F65B5D" w:rsidP="006A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33B5" w14:textId="531F411E" w:rsidR="006A7F7B" w:rsidRDefault="006A7F7B">
    <w:pPr>
      <w:pStyle w:val="Header"/>
    </w:pPr>
    <w:r w:rsidRPr="00805C1C">
      <w:rPr>
        <w:b/>
        <w:bCs/>
        <w:noProof/>
        <w:color w:val="4472C4" w:themeColor="accent1"/>
        <w:sz w:val="18"/>
        <w:szCs w:val="18"/>
      </w:rPr>
      <w:drawing>
        <wp:anchor distT="0" distB="0" distL="114300" distR="114300" simplePos="0" relativeHeight="251659264" behindDoc="0" locked="0" layoutInCell="1" allowOverlap="1" wp14:anchorId="24A9D4A7" wp14:editId="2B39A3BF">
          <wp:simplePos x="0" y="0"/>
          <wp:positionH relativeFrom="margin">
            <wp:posOffset>5172075</wp:posOffset>
          </wp:positionH>
          <wp:positionV relativeFrom="paragraph">
            <wp:posOffset>471170</wp:posOffset>
          </wp:positionV>
          <wp:extent cx="709930" cy="252095"/>
          <wp:effectExtent l="0" t="0" r="1270" b="1905"/>
          <wp:wrapSquare wrapText="bothSides"/>
          <wp:docPr id="1100183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24385" name="Picture 1774124385"/>
                  <pic:cNvPicPr/>
                </pic:nvPicPr>
                <pic:blipFill>
                  <a:blip r:embed="rId1">
                    <a:extLst>
                      <a:ext uri="{28A0092B-C50C-407E-A947-70E740481C1C}">
                        <a14:useLocalDpi xmlns:a14="http://schemas.microsoft.com/office/drawing/2010/main" val="0"/>
                      </a:ext>
                    </a:extLst>
                  </a:blip>
                  <a:stretch>
                    <a:fillRect/>
                  </a:stretch>
                </pic:blipFill>
                <pic:spPr>
                  <a:xfrm>
                    <a:off x="0" y="0"/>
                    <a:ext cx="709930" cy="252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E1"/>
    <w:multiLevelType w:val="multilevel"/>
    <w:tmpl w:val="E6C6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1EB1"/>
    <w:multiLevelType w:val="multilevel"/>
    <w:tmpl w:val="28E2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351F8"/>
    <w:multiLevelType w:val="hybridMultilevel"/>
    <w:tmpl w:val="8F38F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A0657"/>
    <w:multiLevelType w:val="multilevel"/>
    <w:tmpl w:val="D1287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71956"/>
    <w:multiLevelType w:val="multilevel"/>
    <w:tmpl w:val="4CA6E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233781">
    <w:abstractNumId w:val="2"/>
  </w:num>
  <w:num w:numId="2" w16cid:durableId="1452016056">
    <w:abstractNumId w:val="0"/>
  </w:num>
  <w:num w:numId="3" w16cid:durableId="1204368586">
    <w:abstractNumId w:val="3"/>
  </w:num>
  <w:num w:numId="4" w16cid:durableId="297956852">
    <w:abstractNumId w:val="4"/>
  </w:num>
  <w:num w:numId="5" w16cid:durableId="42954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B5"/>
    <w:rsid w:val="00004E26"/>
    <w:rsid w:val="00026275"/>
    <w:rsid w:val="002D0868"/>
    <w:rsid w:val="00332EA2"/>
    <w:rsid w:val="003D15D7"/>
    <w:rsid w:val="00513C82"/>
    <w:rsid w:val="005B7406"/>
    <w:rsid w:val="006A7F7B"/>
    <w:rsid w:val="0070006A"/>
    <w:rsid w:val="00731001"/>
    <w:rsid w:val="00770A69"/>
    <w:rsid w:val="00800018"/>
    <w:rsid w:val="00914283"/>
    <w:rsid w:val="00A91841"/>
    <w:rsid w:val="00B34E64"/>
    <w:rsid w:val="00C35542"/>
    <w:rsid w:val="00E36254"/>
    <w:rsid w:val="00E40BE3"/>
    <w:rsid w:val="00E4319D"/>
    <w:rsid w:val="00E62FB5"/>
    <w:rsid w:val="00F008F4"/>
    <w:rsid w:val="00F6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506F"/>
  <w15:chartTrackingRefBased/>
  <w15:docId w15:val="{0A547EC6-B7D7-4438-953A-E1CADBF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42"/>
    <w:rPr>
      <w:rFonts w:ascii="Calibri" w:hAnsi="Calibri"/>
    </w:rPr>
  </w:style>
  <w:style w:type="paragraph" w:styleId="Heading1">
    <w:name w:val="heading 1"/>
    <w:basedOn w:val="Normal"/>
    <w:next w:val="Normal"/>
    <w:link w:val="Heading1Char"/>
    <w:uiPriority w:val="9"/>
    <w:qFormat/>
    <w:rsid w:val="00C35542"/>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5542"/>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55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5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55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55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55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55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55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42"/>
    <w:rPr>
      <w:rFonts w:ascii="Calibri" w:eastAsiaTheme="majorEastAsia" w:hAnsi="Calibr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5542"/>
    <w:rPr>
      <w:rFonts w:ascii="Calibri" w:eastAsiaTheme="majorEastAsia" w:hAnsi="Calibr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35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42"/>
    <w:rPr>
      <w:rFonts w:eastAsiaTheme="majorEastAsia" w:cstheme="majorBidi"/>
      <w:color w:val="272727" w:themeColor="text1" w:themeTint="D8"/>
    </w:rPr>
  </w:style>
  <w:style w:type="paragraph" w:styleId="Title">
    <w:name w:val="Title"/>
    <w:basedOn w:val="Normal"/>
    <w:next w:val="Normal"/>
    <w:link w:val="TitleChar"/>
    <w:uiPriority w:val="10"/>
    <w:qFormat/>
    <w:rsid w:val="00C3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4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35542"/>
    <w:pPr>
      <w:ind w:left="720"/>
      <w:contextualSpacing/>
    </w:pPr>
  </w:style>
  <w:style w:type="paragraph" w:styleId="Quote">
    <w:name w:val="Quote"/>
    <w:basedOn w:val="Normal"/>
    <w:next w:val="Normal"/>
    <w:link w:val="QuoteChar"/>
    <w:uiPriority w:val="29"/>
    <w:qFormat/>
    <w:rsid w:val="00C35542"/>
    <w:pPr>
      <w:spacing w:before="160"/>
      <w:jc w:val="center"/>
    </w:pPr>
    <w:rPr>
      <w:i/>
      <w:iCs/>
      <w:color w:val="404040" w:themeColor="text1" w:themeTint="BF"/>
    </w:rPr>
  </w:style>
  <w:style w:type="character" w:customStyle="1" w:styleId="QuoteChar">
    <w:name w:val="Quote Char"/>
    <w:basedOn w:val="DefaultParagraphFont"/>
    <w:link w:val="Quote"/>
    <w:uiPriority w:val="29"/>
    <w:rsid w:val="00C35542"/>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C3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542"/>
    <w:rPr>
      <w:rFonts w:ascii="Calibri" w:hAnsi="Calibri"/>
      <w:i/>
      <w:iCs/>
      <w:color w:val="2F5496" w:themeColor="accent1" w:themeShade="BF"/>
    </w:rPr>
  </w:style>
  <w:style w:type="character" w:styleId="IntenseEmphasis">
    <w:name w:val="Intense Emphasis"/>
    <w:basedOn w:val="DefaultParagraphFont"/>
    <w:uiPriority w:val="21"/>
    <w:qFormat/>
    <w:rsid w:val="00C35542"/>
    <w:rPr>
      <w:i/>
      <w:iCs/>
      <w:color w:val="2F5496" w:themeColor="accent1" w:themeShade="BF"/>
    </w:rPr>
  </w:style>
  <w:style w:type="character" w:styleId="IntenseReference">
    <w:name w:val="Intense Reference"/>
    <w:basedOn w:val="DefaultParagraphFont"/>
    <w:uiPriority w:val="32"/>
    <w:qFormat/>
    <w:rsid w:val="00C35542"/>
    <w:rPr>
      <w:b/>
      <w:bCs/>
      <w:smallCaps/>
      <w:color w:val="2F5496" w:themeColor="accent1" w:themeShade="BF"/>
      <w:spacing w:val="5"/>
    </w:rPr>
  </w:style>
  <w:style w:type="character" w:styleId="Hyperlink">
    <w:name w:val="Hyperlink"/>
    <w:basedOn w:val="DefaultParagraphFont"/>
    <w:uiPriority w:val="99"/>
    <w:unhideWhenUsed/>
    <w:rsid w:val="00F008F4"/>
    <w:rPr>
      <w:color w:val="0563C1" w:themeColor="hyperlink"/>
      <w:u w:val="single"/>
    </w:rPr>
  </w:style>
  <w:style w:type="character" w:styleId="UnresolvedMention">
    <w:name w:val="Unresolved Mention"/>
    <w:basedOn w:val="DefaultParagraphFont"/>
    <w:uiPriority w:val="99"/>
    <w:semiHidden/>
    <w:unhideWhenUsed/>
    <w:rsid w:val="00F008F4"/>
    <w:rPr>
      <w:color w:val="605E5C"/>
      <w:shd w:val="clear" w:color="auto" w:fill="E1DFDD"/>
    </w:rPr>
  </w:style>
  <w:style w:type="paragraph" w:styleId="Header">
    <w:name w:val="header"/>
    <w:basedOn w:val="Normal"/>
    <w:link w:val="HeaderChar"/>
    <w:uiPriority w:val="99"/>
    <w:unhideWhenUsed/>
    <w:rsid w:val="006A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F7B"/>
    <w:rPr>
      <w:rFonts w:ascii="Calibri" w:hAnsi="Calibri"/>
    </w:rPr>
  </w:style>
  <w:style w:type="paragraph" w:styleId="Footer">
    <w:name w:val="footer"/>
    <w:basedOn w:val="Normal"/>
    <w:link w:val="FooterChar"/>
    <w:uiPriority w:val="99"/>
    <w:unhideWhenUsed/>
    <w:rsid w:val="006A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F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olff@pr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lliott@pr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cag.ca.gov/sites/default/files/2024-09/scag_debarmentform.pdf" TargetMode="External"/><Relationship Id="rId4" Type="http://schemas.openxmlformats.org/officeDocument/2006/relationships/webSettings" Target="webSettings.xml"/><Relationship Id="rId9" Type="http://schemas.openxmlformats.org/officeDocument/2006/relationships/hyperlink" Target="https://scag.ca.gov/sites/default/files/2025-07/scag_coi_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1224</Words>
  <Characters>8501</Characters>
  <Application>Microsoft Office Word</Application>
  <DocSecurity>0</DocSecurity>
  <Lines>128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Wolff</dc:creator>
  <cp:keywords/>
  <dc:description/>
  <cp:lastModifiedBy>Immanuel Wolff</cp:lastModifiedBy>
  <cp:revision>11</cp:revision>
  <dcterms:created xsi:type="dcterms:W3CDTF">2026-03-18T12:42:00Z</dcterms:created>
  <dcterms:modified xsi:type="dcterms:W3CDTF">2026-03-18T14:14:00Z</dcterms:modified>
</cp:coreProperties>
</file>